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64498" w14:textId="77777777" w:rsidR="00920BA5" w:rsidRPr="004220AB" w:rsidRDefault="00920BA5" w:rsidP="00BC5C86">
      <w:pPr>
        <w:ind w:left="426"/>
        <w:rPr>
          <w:rFonts w:asciiTheme="minorHAnsi" w:hAnsiTheme="minorHAnsi" w:cstheme="minorHAnsi"/>
          <w:b/>
          <w:color w:val="000000" w:themeColor="text1"/>
        </w:rPr>
      </w:pPr>
    </w:p>
    <w:p w14:paraId="22E2422E" w14:textId="77777777" w:rsidR="00920BA5" w:rsidRPr="00CF4230" w:rsidRDefault="00920BA5" w:rsidP="00BC5C86">
      <w:pPr>
        <w:ind w:left="426"/>
        <w:rPr>
          <w:rFonts w:asciiTheme="minorHAnsi" w:hAnsiTheme="minorHAnsi" w:cstheme="minorHAnsi"/>
          <w:b/>
          <w:color w:val="000000" w:themeColor="text1"/>
        </w:rPr>
      </w:pPr>
    </w:p>
    <w:p w14:paraId="5B966C5B" w14:textId="77777777" w:rsidR="00D14C80" w:rsidRPr="002073A7" w:rsidRDefault="00D14C80" w:rsidP="00D14C80">
      <w:pPr>
        <w:pStyle w:val="1"/>
        <w:rPr>
          <w:color w:val="000000" w:themeColor="text1"/>
        </w:rPr>
      </w:pPr>
      <w:bookmarkStart w:id="0" w:name="_Toc34917919"/>
      <w:bookmarkStart w:id="1" w:name="_Toc475007896"/>
      <w:bookmarkStart w:id="2" w:name="_Toc475522343"/>
      <w:bookmarkStart w:id="3" w:name="_Toc475007895"/>
      <w:bookmarkStart w:id="4" w:name="_Toc475522342"/>
      <w:bookmarkStart w:id="5" w:name="_Toc68253954"/>
      <w:bookmarkStart w:id="6" w:name="_GoBack"/>
      <w:bookmarkEnd w:id="6"/>
      <w:r w:rsidRPr="002073A7">
        <w:rPr>
          <w:color w:val="000000" w:themeColor="text1"/>
        </w:rPr>
        <w:t>Загальні відомості</w:t>
      </w:r>
      <w:bookmarkEnd w:id="3"/>
      <w:bookmarkEnd w:id="4"/>
      <w:bookmarkEnd w:id="5"/>
    </w:p>
    <w:p w14:paraId="34C7C2CA" w14:textId="77777777" w:rsidR="00D14C80" w:rsidRPr="002073A7" w:rsidRDefault="00D14C80" w:rsidP="00D14C80">
      <w:pPr>
        <w:pStyle w:val="af7"/>
        <w:rPr>
          <w:color w:val="000000" w:themeColor="text1"/>
        </w:rPr>
      </w:pPr>
      <w:r w:rsidRPr="002073A7">
        <w:rPr>
          <w:color w:val="000000" w:themeColor="text1"/>
        </w:rPr>
        <w:t xml:space="preserve">Дана фінансова звітність є фінансовою звітністю </w:t>
      </w:r>
      <w:r>
        <w:rPr>
          <w:color w:val="000000" w:themeColor="text1"/>
        </w:rPr>
        <w:t>А</w:t>
      </w:r>
      <w:r w:rsidRPr="002073A7">
        <w:rPr>
          <w:color w:val="000000" w:themeColor="text1"/>
        </w:rPr>
        <w:t>кціонерного товариства «Галичфарм» (далі — «Компанія»).</w:t>
      </w:r>
    </w:p>
    <w:p w14:paraId="6E889027" w14:textId="77777777" w:rsidR="00D14C80" w:rsidRPr="002073A7" w:rsidRDefault="00D14C80" w:rsidP="00D14C80">
      <w:pPr>
        <w:pStyle w:val="af7"/>
        <w:rPr>
          <w:color w:val="000000" w:themeColor="text1"/>
        </w:rPr>
      </w:pPr>
      <w:r w:rsidRPr="002073A7">
        <w:rPr>
          <w:color w:val="000000" w:themeColor="text1"/>
        </w:rPr>
        <w:t>Код за ЄДРПОУ – 5800293.</w:t>
      </w:r>
    </w:p>
    <w:p w14:paraId="080F2108" w14:textId="77777777" w:rsidR="00D14C80" w:rsidRPr="002073A7" w:rsidRDefault="00D14C80" w:rsidP="00D14C80">
      <w:pPr>
        <w:pStyle w:val="af7"/>
        <w:rPr>
          <w:color w:val="000000" w:themeColor="text1"/>
        </w:rPr>
      </w:pPr>
      <w:r w:rsidRPr="002073A7">
        <w:rPr>
          <w:color w:val="000000" w:themeColor="text1"/>
        </w:rPr>
        <w:t>Місцезнаходження Компанії 79024, м. Львів, вул. Опришківська, 6/8.</w:t>
      </w:r>
    </w:p>
    <w:p w14:paraId="4772E2EF" w14:textId="77777777" w:rsidR="00D14C80" w:rsidRPr="002073A7" w:rsidRDefault="00D14C80" w:rsidP="00D14C80">
      <w:pPr>
        <w:pStyle w:val="af7"/>
        <w:rPr>
          <w:color w:val="000000" w:themeColor="text1"/>
        </w:rPr>
      </w:pPr>
      <w:r w:rsidRPr="002073A7">
        <w:rPr>
          <w:color w:val="000000" w:themeColor="text1"/>
        </w:rPr>
        <w:t>Середня чисельність персоналу станом на 31.12.20</w:t>
      </w:r>
      <w:r>
        <w:rPr>
          <w:color w:val="000000" w:themeColor="text1"/>
        </w:rPr>
        <w:t>20</w:t>
      </w:r>
      <w:r w:rsidRPr="002073A7">
        <w:rPr>
          <w:color w:val="000000" w:themeColor="text1"/>
        </w:rPr>
        <w:t xml:space="preserve"> склала </w:t>
      </w:r>
      <w:r w:rsidRPr="00DB4ACA">
        <w:rPr>
          <w:color w:val="000000" w:themeColor="text1"/>
        </w:rPr>
        <w:t>1 091</w:t>
      </w:r>
      <w:r w:rsidRPr="002073A7">
        <w:rPr>
          <w:color w:val="000000" w:themeColor="text1"/>
        </w:rPr>
        <w:t xml:space="preserve"> працівників (станом на 31.12.201</w:t>
      </w:r>
      <w:r>
        <w:rPr>
          <w:color w:val="000000" w:themeColor="text1"/>
        </w:rPr>
        <w:t>9</w:t>
      </w:r>
      <w:r w:rsidRPr="002073A7">
        <w:rPr>
          <w:color w:val="000000" w:themeColor="text1"/>
        </w:rPr>
        <w:t xml:space="preserve"> – 1 </w:t>
      </w:r>
      <w:r>
        <w:rPr>
          <w:color w:val="000000" w:themeColor="text1"/>
        </w:rPr>
        <w:t>111</w:t>
      </w:r>
      <w:r w:rsidRPr="002073A7">
        <w:rPr>
          <w:color w:val="000000" w:themeColor="text1"/>
        </w:rPr>
        <w:t xml:space="preserve"> працівників).</w:t>
      </w:r>
    </w:p>
    <w:p w14:paraId="1D78B90D" w14:textId="77777777" w:rsidR="00D14C80" w:rsidRPr="006E1F3B" w:rsidRDefault="00D14C80" w:rsidP="00D14C80">
      <w:pPr>
        <w:spacing w:before="120" w:after="120"/>
        <w:rPr>
          <w:color w:val="000000" w:themeColor="text1"/>
          <w:szCs w:val="20"/>
        </w:rPr>
      </w:pPr>
      <w:r w:rsidRPr="002560CB">
        <w:rPr>
          <w:rFonts w:asciiTheme="minorHAnsi" w:hAnsiTheme="minorHAnsi" w:cstheme="minorHAnsi"/>
          <w:color w:val="000000" w:themeColor="text1"/>
        </w:rPr>
        <w:t xml:space="preserve">Компанію засновано шляхом перетворення Державного підприємства «Львівське виробниче хіміко-фармацевтичне об’єднання «Львівфарм» у акціонерне товариство відкритого типу «Галичфарм» та шляхом зміни найменування Товариства, відповідно до Закону України «Про акціонерні товариства» від 17.09.2008 р. </w:t>
      </w:r>
    </w:p>
    <w:p w14:paraId="3B5FF37A" w14:textId="77777777" w:rsidR="00D14C80" w:rsidRPr="006E1F3B" w:rsidRDefault="00D14C80" w:rsidP="00D14C80">
      <w:pPr>
        <w:spacing w:before="120" w:after="120"/>
        <w:rPr>
          <w:color w:val="000000" w:themeColor="text1"/>
          <w:szCs w:val="20"/>
        </w:rPr>
      </w:pPr>
      <w:r w:rsidRPr="006E1F3B">
        <w:rPr>
          <w:color w:val="000000" w:themeColor="text1"/>
          <w:szCs w:val="20"/>
        </w:rPr>
        <w:t>У квітні 2019 року тип публічного акціонерного товариства змінено з публічного на приватне та Компанія перейменована на АКЦІОНЕРНЕ ТОВАРИСТВО «ГАЛИЧФАРМ».</w:t>
      </w:r>
    </w:p>
    <w:p w14:paraId="6B0C5B4C" w14:textId="77777777" w:rsidR="00D14C80" w:rsidRDefault="00D14C80" w:rsidP="00D14C80">
      <w:pPr>
        <w:pStyle w:val="af7"/>
        <w:rPr>
          <w:b/>
          <w:bCs/>
          <w:szCs w:val="20"/>
        </w:rPr>
      </w:pPr>
      <w:r w:rsidRPr="006E1F3B">
        <w:rPr>
          <w:szCs w:val="20"/>
        </w:rPr>
        <w:t>Основною діяльністю Компанії є виробництво лікарських засобів, фіто-хімічних субстанцій на основі екстракції рослинної лікарської сировини, виробів медичного призначення та оптова торгівля лікарськими засобами.</w:t>
      </w:r>
      <w:r>
        <w:rPr>
          <w:szCs w:val="20"/>
        </w:rPr>
        <w:t xml:space="preserve"> </w:t>
      </w:r>
    </w:p>
    <w:p w14:paraId="5417537E" w14:textId="20D04383" w:rsidR="00D14C80" w:rsidRPr="006E1F3B" w:rsidRDefault="00D14C80" w:rsidP="00D14C80">
      <w:pPr>
        <w:pStyle w:val="af7"/>
        <w:rPr>
          <w:szCs w:val="20"/>
        </w:rPr>
      </w:pPr>
      <w:r w:rsidRPr="006E1F3B">
        <w:rPr>
          <w:szCs w:val="20"/>
        </w:rPr>
        <w:t xml:space="preserve">Історія </w:t>
      </w:r>
      <w:r>
        <w:rPr>
          <w:szCs w:val="20"/>
        </w:rPr>
        <w:t xml:space="preserve">Компанії </w:t>
      </w:r>
      <w:r w:rsidRPr="006E1F3B">
        <w:rPr>
          <w:szCs w:val="20"/>
        </w:rPr>
        <w:t>сягає понад 100 років.</w:t>
      </w:r>
      <w:r>
        <w:rPr>
          <w:szCs w:val="20"/>
        </w:rPr>
        <w:t xml:space="preserve"> Компанія </w:t>
      </w:r>
      <w:r w:rsidRPr="006E1F3B">
        <w:rPr>
          <w:szCs w:val="20"/>
        </w:rPr>
        <w:t>випускає лікарські засоби з 1911 року. Сьогодні асортимент виробництва налічує близько 87 (з урахуванням форм дозування) генеричних та оригінальних лікарських засобів в таких формах випуску як: ін’єкції в ампулах,</w:t>
      </w:r>
      <w:r w:rsidR="00E73815">
        <w:rPr>
          <w:szCs w:val="20"/>
        </w:rPr>
        <w:t xml:space="preserve"> </w:t>
      </w:r>
      <w:r w:rsidR="00E73815" w:rsidRPr="00884708">
        <w:rPr>
          <w:szCs w:val="20"/>
        </w:rPr>
        <w:t>інфузії,</w:t>
      </w:r>
      <w:r w:rsidRPr="00884708">
        <w:rPr>
          <w:szCs w:val="20"/>
        </w:rPr>
        <w:t xml:space="preserve"> таблетки</w:t>
      </w:r>
      <w:r w:rsidRPr="006E1F3B">
        <w:rPr>
          <w:szCs w:val="20"/>
        </w:rPr>
        <w:t>, розчини, екстракти, сиропи та краплі.</w:t>
      </w:r>
    </w:p>
    <w:p w14:paraId="1DEADD5F" w14:textId="77777777" w:rsidR="00D14C80" w:rsidRPr="006E1F3B" w:rsidRDefault="00D14C80" w:rsidP="00D14C80">
      <w:pPr>
        <w:pStyle w:val="af6"/>
        <w:spacing w:before="120" w:after="120"/>
        <w:jc w:val="both"/>
        <w:rPr>
          <w:rFonts w:ascii="Arial" w:eastAsia="Times New Roman" w:hAnsi="Arial" w:cs="Arial"/>
          <w:color w:val="000000"/>
          <w:sz w:val="20"/>
          <w:szCs w:val="20"/>
          <w:lang w:val="uk-UA"/>
        </w:rPr>
      </w:pPr>
      <w:r>
        <w:rPr>
          <w:rFonts w:ascii="Arial" w:eastAsia="Times New Roman" w:hAnsi="Arial" w:cs="Arial"/>
          <w:color w:val="000000"/>
          <w:sz w:val="20"/>
          <w:szCs w:val="20"/>
          <w:lang w:val="uk-UA"/>
        </w:rPr>
        <w:t>Компанія успішно пройшла</w:t>
      </w:r>
      <w:r w:rsidRPr="006E1F3B">
        <w:rPr>
          <w:rFonts w:ascii="Arial" w:eastAsia="Times New Roman" w:hAnsi="Arial" w:cs="Arial"/>
          <w:color w:val="000000"/>
          <w:sz w:val="20"/>
          <w:szCs w:val="20"/>
          <w:lang w:val="uk-UA"/>
        </w:rPr>
        <w:t xml:space="preserve"> аудит Державної служби України з лікарських засобів щодо відповідності, гармонізації умов виробництва лікарських засобів з європейськими вимогами та отримав безстрокові ліцензії на виробництво та оптову торгівлю лікарськими засобами. Система управління якістю </w:t>
      </w:r>
      <w:r>
        <w:rPr>
          <w:rFonts w:ascii="Arial" w:eastAsia="Times New Roman" w:hAnsi="Arial" w:cs="Arial"/>
          <w:color w:val="000000"/>
          <w:sz w:val="20"/>
          <w:szCs w:val="20"/>
          <w:lang w:val="uk-UA"/>
        </w:rPr>
        <w:t>Компанії</w:t>
      </w:r>
      <w:r w:rsidRPr="006E1F3B">
        <w:rPr>
          <w:rFonts w:ascii="Arial" w:eastAsia="Times New Roman" w:hAnsi="Arial" w:cs="Arial"/>
          <w:color w:val="000000"/>
          <w:sz w:val="20"/>
          <w:szCs w:val="20"/>
          <w:lang w:val="uk-UA"/>
        </w:rPr>
        <w:t xml:space="preserve"> пройшла сертифікацію на відповідність міжнародному стандарту управління якістю ІSO 9001:2000. </w:t>
      </w:r>
    </w:p>
    <w:p w14:paraId="563B3BC2" w14:textId="77777777" w:rsidR="00D14C80" w:rsidRPr="005741DC" w:rsidRDefault="00D14C80" w:rsidP="00D14C80">
      <w:pPr>
        <w:pStyle w:val="af6"/>
        <w:spacing w:before="120" w:after="120"/>
        <w:jc w:val="both"/>
        <w:rPr>
          <w:rFonts w:ascii="Arial" w:eastAsia="Times New Roman" w:hAnsi="Arial" w:cs="Arial"/>
          <w:color w:val="000000" w:themeColor="text1"/>
          <w:sz w:val="20"/>
          <w:szCs w:val="20"/>
          <w:lang w:val="uk-UA"/>
        </w:rPr>
      </w:pPr>
      <w:r w:rsidRPr="006E1F3B">
        <w:rPr>
          <w:rFonts w:ascii="Arial" w:eastAsia="Times New Roman" w:hAnsi="Arial" w:cs="Arial"/>
          <w:color w:val="000000"/>
          <w:sz w:val="20"/>
          <w:szCs w:val="20"/>
          <w:lang w:val="uk-UA"/>
        </w:rPr>
        <w:t>Виробництво ін’єкційних розчинів в ампулах методом шприцевого наповнення та повний цикл виробництва фіто</w:t>
      </w:r>
      <w:r>
        <w:rPr>
          <w:rFonts w:ascii="Arial" w:eastAsia="Times New Roman" w:hAnsi="Arial" w:cs="Arial"/>
          <w:color w:val="000000"/>
          <w:sz w:val="20"/>
          <w:szCs w:val="20"/>
          <w:lang w:val="uk-UA"/>
        </w:rPr>
        <w:t>-</w:t>
      </w:r>
      <w:r w:rsidRPr="006E1F3B">
        <w:rPr>
          <w:rFonts w:ascii="Arial" w:eastAsia="Times New Roman" w:hAnsi="Arial" w:cs="Arial"/>
          <w:color w:val="000000"/>
          <w:sz w:val="20"/>
          <w:szCs w:val="20"/>
          <w:lang w:val="uk-UA"/>
        </w:rPr>
        <w:t xml:space="preserve">хімічного цеху </w:t>
      </w:r>
      <w:r>
        <w:rPr>
          <w:rFonts w:ascii="Arial" w:eastAsia="Times New Roman" w:hAnsi="Arial" w:cs="Arial"/>
          <w:color w:val="000000"/>
          <w:sz w:val="20"/>
          <w:szCs w:val="20"/>
          <w:lang w:val="uk-UA"/>
        </w:rPr>
        <w:t>Компанії</w:t>
      </w:r>
      <w:r w:rsidRPr="006E1F3B">
        <w:rPr>
          <w:rFonts w:ascii="Arial" w:eastAsia="Times New Roman" w:hAnsi="Arial" w:cs="Arial"/>
          <w:color w:val="000000"/>
          <w:sz w:val="20"/>
          <w:szCs w:val="20"/>
          <w:lang w:val="uk-UA"/>
        </w:rPr>
        <w:t xml:space="preserve"> сертифіковано на відповідність міжнародним стандартам Належної </w:t>
      </w:r>
      <w:r w:rsidRPr="005741DC">
        <w:rPr>
          <w:rFonts w:ascii="Arial" w:eastAsia="Times New Roman" w:hAnsi="Arial" w:cs="Arial"/>
          <w:color w:val="000000" w:themeColor="text1"/>
          <w:sz w:val="20"/>
          <w:szCs w:val="20"/>
          <w:lang w:val="uk-UA"/>
        </w:rPr>
        <w:t>Виробничої Практики (GMP). Система екологічного керування Компанії сертифікована згідно ДСТУ ISO 14001:2006.</w:t>
      </w:r>
    </w:p>
    <w:p w14:paraId="39706ECC" w14:textId="77777777" w:rsidR="00D14C80" w:rsidRPr="005741DC" w:rsidRDefault="00D14C80" w:rsidP="00D14C80">
      <w:pPr>
        <w:pStyle w:val="1"/>
        <w:rPr>
          <w:rFonts w:asciiTheme="minorHAnsi" w:hAnsiTheme="minorHAnsi" w:cstheme="minorHAnsi"/>
          <w:color w:val="000000" w:themeColor="text1"/>
          <w:szCs w:val="20"/>
        </w:rPr>
      </w:pPr>
      <w:bookmarkStart w:id="7" w:name="_Toc68253955"/>
      <w:bookmarkStart w:id="8" w:name="_Toc497213429"/>
      <w:bookmarkStart w:id="9" w:name="_Toc501620013"/>
      <w:bookmarkStart w:id="10" w:name="_Toc501626606"/>
      <w:bookmarkStart w:id="11" w:name="_Toc501627095"/>
      <w:r>
        <w:rPr>
          <w:rFonts w:asciiTheme="minorHAnsi" w:hAnsiTheme="minorHAnsi" w:cstheme="minorHAnsi"/>
          <w:color w:val="000000" w:themeColor="text1"/>
          <w:szCs w:val="20"/>
        </w:rPr>
        <w:t>Операційне</w:t>
      </w:r>
      <w:r w:rsidRPr="005741DC">
        <w:rPr>
          <w:rFonts w:asciiTheme="minorHAnsi" w:hAnsiTheme="minorHAnsi" w:cstheme="minorHAnsi"/>
          <w:color w:val="000000" w:themeColor="text1"/>
          <w:szCs w:val="20"/>
        </w:rPr>
        <w:t xml:space="preserve"> середовище</w:t>
      </w:r>
      <w:bookmarkEnd w:id="7"/>
    </w:p>
    <w:p w14:paraId="08C9855F" w14:textId="00470183" w:rsidR="00163B96" w:rsidRDefault="00163B96" w:rsidP="00163B96">
      <w:pPr>
        <w:pStyle w:val="af7"/>
        <w:rPr>
          <w:color w:val="auto"/>
          <w:szCs w:val="20"/>
          <w:shd w:val="clear" w:color="auto" w:fill="FFFFFF"/>
        </w:rPr>
      </w:pPr>
      <w:r w:rsidRPr="00CD1301">
        <w:rPr>
          <w:color w:val="000000" w:themeColor="text1"/>
          <w:szCs w:val="20"/>
        </w:rPr>
        <w:t>Економіка України перебуває в особливих умовах функціонування пов’язаних із політичним та економічним напруженням, а також поширенням коронавірусної інфекції. У 2020 році інфляція в Україні прискорилася до 5% у річному вимірі (у 2019 році станови</w:t>
      </w:r>
      <w:r w:rsidR="00D679A2">
        <w:rPr>
          <w:color w:val="000000" w:themeColor="text1"/>
          <w:szCs w:val="20"/>
        </w:rPr>
        <w:t>ла</w:t>
      </w:r>
      <w:r w:rsidRPr="00CD1301">
        <w:rPr>
          <w:color w:val="000000" w:themeColor="text1"/>
          <w:szCs w:val="20"/>
        </w:rPr>
        <w:t xml:space="preserve"> 4,1%). </w:t>
      </w:r>
      <w:r w:rsidRPr="00CD1301">
        <w:rPr>
          <w:color w:val="auto"/>
          <w:szCs w:val="20"/>
          <w:shd w:val="clear" w:color="auto" w:fill="FFFFFF"/>
          <w:lang w:val="ru-RU"/>
        </w:rPr>
        <w:t>В</w:t>
      </w:r>
      <w:r w:rsidRPr="00CD1301">
        <w:rPr>
          <w:color w:val="auto"/>
          <w:szCs w:val="20"/>
          <w:shd w:val="clear" w:color="auto" w:fill="FFFFFF"/>
        </w:rPr>
        <w:t xml:space="preserve">ідповідно </w:t>
      </w:r>
      <w:r w:rsidRPr="00CD1301">
        <w:rPr>
          <w:color w:val="auto"/>
          <w:szCs w:val="20"/>
          <w:shd w:val="clear" w:color="auto" w:fill="FFFFFF"/>
          <w:lang w:val="ru-RU"/>
        </w:rPr>
        <w:t xml:space="preserve">до </w:t>
      </w:r>
      <w:r w:rsidRPr="00CD1301">
        <w:rPr>
          <w:color w:val="auto"/>
          <w:szCs w:val="20"/>
          <w:shd w:val="clear" w:color="auto" w:fill="FFFFFF"/>
        </w:rPr>
        <w:t>Постанов</w:t>
      </w:r>
      <w:r w:rsidRPr="00CD1301">
        <w:rPr>
          <w:color w:val="auto"/>
          <w:szCs w:val="20"/>
          <w:shd w:val="clear" w:color="auto" w:fill="FFFFFF"/>
          <w:lang w:val="ru-RU"/>
        </w:rPr>
        <w:t xml:space="preserve">и </w:t>
      </w:r>
      <w:r w:rsidRPr="00CD1301">
        <w:rPr>
          <w:color w:val="auto"/>
          <w:szCs w:val="20"/>
          <w:shd w:val="clear" w:color="auto" w:fill="FFFFFF"/>
        </w:rPr>
        <w:t xml:space="preserve"> Кабінету Міністрів від 11 березня 2020 р. № 211 «Про запобігання поширенню на території України коронавірусу COVID-19» встановлено на всій території України карантин на період з 12 березня 2020 року, який </w:t>
      </w:r>
      <w:r w:rsidRPr="00D933F9">
        <w:rPr>
          <w:color w:val="auto"/>
          <w:szCs w:val="20"/>
          <w:shd w:val="clear" w:color="auto" w:fill="FFFFFF"/>
        </w:rPr>
        <w:t xml:space="preserve">продовжено до </w:t>
      </w:r>
      <w:r w:rsidR="00D679A2" w:rsidRPr="00D933F9">
        <w:rPr>
          <w:color w:val="auto"/>
          <w:szCs w:val="20"/>
          <w:shd w:val="clear" w:color="auto" w:fill="FFFFFF"/>
        </w:rPr>
        <w:t>30</w:t>
      </w:r>
      <w:r w:rsidRPr="00D933F9">
        <w:rPr>
          <w:color w:val="auto"/>
          <w:szCs w:val="20"/>
          <w:shd w:val="clear" w:color="auto" w:fill="FFFFFF"/>
        </w:rPr>
        <w:t xml:space="preserve"> квітня 2021 року).</w:t>
      </w:r>
      <w:r w:rsidRPr="00CD1301">
        <w:rPr>
          <w:color w:val="auto"/>
          <w:szCs w:val="20"/>
          <w:shd w:val="clear" w:color="auto" w:fill="FFFFFF"/>
        </w:rPr>
        <w:t xml:space="preserve"> </w:t>
      </w:r>
    </w:p>
    <w:p w14:paraId="52B822F6" w14:textId="77777777" w:rsidR="00163B96" w:rsidRPr="00CD1301" w:rsidRDefault="00163B96" w:rsidP="00163B96">
      <w:pPr>
        <w:pStyle w:val="af7"/>
        <w:rPr>
          <w:color w:val="auto"/>
          <w:szCs w:val="20"/>
          <w:shd w:val="clear" w:color="auto" w:fill="FFFFFF"/>
        </w:rPr>
      </w:pPr>
      <w:r>
        <w:rPr>
          <w:color w:val="auto"/>
          <w:szCs w:val="20"/>
          <w:shd w:val="clear" w:color="auto" w:fill="FFFFFF"/>
          <w:lang w:val="ru-RU"/>
        </w:rPr>
        <w:t>Не</w:t>
      </w:r>
      <w:r w:rsidRPr="00CD1301">
        <w:rPr>
          <w:color w:val="auto"/>
          <w:szCs w:val="20"/>
          <w:shd w:val="clear" w:color="auto" w:fill="FFFFFF"/>
        </w:rPr>
        <w:t xml:space="preserve"> зважаючи на зростаючий вплив коронавірусу на глобальну економіку та високу невизначеність, керівництво впевнено, що ця невизначеність не призведе до коригуючих подій, які могли значно вплинути на суми активів та зобов’язань Компанії станом на 31.12.2020 року.</w:t>
      </w:r>
    </w:p>
    <w:p w14:paraId="220E8C7E" w14:textId="77777777" w:rsidR="00163B96" w:rsidRPr="00CD1301" w:rsidRDefault="00163B96" w:rsidP="00163B96">
      <w:pPr>
        <w:pStyle w:val="af6"/>
        <w:shd w:val="clear" w:color="auto" w:fill="FFFFFF"/>
        <w:spacing w:before="120" w:after="120"/>
        <w:jc w:val="both"/>
        <w:textAlignment w:val="baseline"/>
        <w:rPr>
          <w:rFonts w:ascii="Arial" w:eastAsia="Times New Roman" w:hAnsi="Arial" w:cs="Arial"/>
          <w:color w:val="000000" w:themeColor="text1"/>
          <w:sz w:val="20"/>
          <w:szCs w:val="20"/>
          <w:lang w:val="uk-UA"/>
        </w:rPr>
      </w:pPr>
      <w:r w:rsidRPr="00CD1301">
        <w:rPr>
          <w:rFonts w:ascii="Arial" w:eastAsia="Times New Roman" w:hAnsi="Arial" w:cs="Arial"/>
          <w:color w:val="000000" w:themeColor="text1"/>
          <w:sz w:val="20"/>
          <w:szCs w:val="20"/>
          <w:lang w:val="uk-UA"/>
        </w:rPr>
        <w:t>Упродовж року інфляція переважно перебувала нижче цільового діапазону 5% ± 1 в. п. Низькі темпи зростання цін зумовлювалися негативним впливом пандемії коронавірусу та карантинних обмежень на економічну активність та споживання. Падіння світових цін на енергоносії, а також зниження попиту на непершочергові товари і послуги підтримували низький рівень інфляції. Послаблення гривні позначалося на споживчих цінах з певним часовим лагом.</w:t>
      </w:r>
    </w:p>
    <w:p w14:paraId="23308688" w14:textId="4871E942" w:rsidR="00163B96" w:rsidRPr="00CD1301" w:rsidRDefault="00163B96" w:rsidP="00163B96">
      <w:pPr>
        <w:pStyle w:val="af6"/>
        <w:shd w:val="clear" w:color="auto" w:fill="FFFFFF"/>
        <w:spacing w:before="120" w:after="120"/>
        <w:jc w:val="both"/>
        <w:textAlignment w:val="baseline"/>
        <w:rPr>
          <w:rFonts w:ascii="Arial" w:eastAsia="Times New Roman" w:hAnsi="Arial" w:cs="Arial"/>
          <w:color w:val="000000" w:themeColor="text1"/>
          <w:sz w:val="20"/>
          <w:szCs w:val="20"/>
          <w:lang w:val="uk-UA"/>
        </w:rPr>
      </w:pPr>
      <w:r w:rsidRPr="00CD1301">
        <w:rPr>
          <w:rFonts w:ascii="Arial" w:eastAsia="Times New Roman" w:hAnsi="Arial" w:cs="Arial"/>
          <w:color w:val="000000" w:themeColor="text1"/>
          <w:sz w:val="20"/>
          <w:szCs w:val="20"/>
          <w:lang w:val="uk-UA"/>
        </w:rPr>
        <w:t xml:space="preserve">Економічна криза у зв’язку із поширенням епідемії COVID-19 не призвела до порушення стабільності банківської системи в Україні. З огляду на послаблення інфляційного тиску та скорочення ділової </w:t>
      </w:r>
      <w:r w:rsidRPr="00CD1301">
        <w:rPr>
          <w:rFonts w:ascii="Arial" w:eastAsia="Times New Roman" w:hAnsi="Arial" w:cs="Arial"/>
          <w:color w:val="000000" w:themeColor="text1"/>
          <w:sz w:val="20"/>
          <w:szCs w:val="20"/>
          <w:lang w:val="uk-UA"/>
        </w:rPr>
        <w:lastRenderedPageBreak/>
        <w:t>активності упродовж першої половини року, Національний банк пом’якшував монетарну політику, щоб сприяти відновленню економіки і водночас повернути інфляцію до цілі. Облікова ставка була знижена до рекордного рівня в 6%. Завдяки монетарній підтримці НБУ, яка сприяла здешевленню фінансових ресурсів, і фіскальним стимулам уряду, які підтримали внутрішнє споживання, економіка почала відновлюватися у III кварталі 2020 року.</w:t>
      </w:r>
    </w:p>
    <w:p w14:paraId="17A5D132" w14:textId="77777777" w:rsidR="00163B96" w:rsidRPr="00CD1301" w:rsidRDefault="00163B96" w:rsidP="00163B96">
      <w:pPr>
        <w:pStyle w:val="af6"/>
        <w:shd w:val="clear" w:color="auto" w:fill="FFFFFF"/>
        <w:spacing w:before="120" w:after="120"/>
        <w:jc w:val="both"/>
        <w:textAlignment w:val="baseline"/>
        <w:rPr>
          <w:rFonts w:ascii="Arial" w:eastAsia="Times New Roman" w:hAnsi="Arial" w:cs="Arial"/>
          <w:color w:val="000000" w:themeColor="text1"/>
          <w:sz w:val="20"/>
          <w:szCs w:val="20"/>
          <w:lang w:val="uk-UA"/>
        </w:rPr>
      </w:pPr>
      <w:r w:rsidRPr="00CD1301">
        <w:rPr>
          <w:rFonts w:ascii="Arial" w:eastAsia="Times New Roman" w:hAnsi="Arial" w:cs="Arial"/>
          <w:color w:val="000000" w:themeColor="text1"/>
          <w:sz w:val="20"/>
          <w:szCs w:val="20"/>
          <w:lang w:val="uk-UA"/>
        </w:rPr>
        <w:t xml:space="preserve">Попри негативну економічну динаміку протягом року вдалося надолужити відставання від плану, і у 2020 році дохідна частина бюджету була виконана. </w:t>
      </w:r>
      <w:r w:rsidRPr="00CD1301">
        <w:rPr>
          <w:rFonts w:ascii="Arial" w:eastAsia="Times New Roman" w:hAnsi="Arial" w:cs="Arial"/>
          <w:bCs/>
          <w:color w:val="000000" w:themeColor="text1"/>
          <w:sz w:val="20"/>
          <w:szCs w:val="20"/>
          <w:lang w:val="uk-UA"/>
        </w:rPr>
        <w:t>За 2020 рік загальний фонд державного бюджету було виконано із дефіцитом у сумі 215,5 млрд грн при затвердженому законом про бюджет граничному обсязі у сумі 274,5 млрд грн</w:t>
      </w:r>
      <w:r w:rsidRPr="00CD1301">
        <w:rPr>
          <w:rFonts w:ascii="Arial" w:eastAsia="Times New Roman" w:hAnsi="Arial" w:cs="Arial"/>
          <w:color w:val="000000" w:themeColor="text1"/>
          <w:sz w:val="20"/>
          <w:szCs w:val="20"/>
          <w:lang w:val="uk-UA"/>
        </w:rPr>
        <w:t>. Його було профінансовано за рахунок запозичень, які в 2020 році становили 621,5 млрд грн, або 93,8 % від запланованих на цей період: внутрішні запозичення склали 389,2  млрд грн (94,6 % від плану), зовнішні – 232,3 млрд грн (92,4 % від плану).</w:t>
      </w:r>
    </w:p>
    <w:p w14:paraId="4F573112" w14:textId="77777777" w:rsidR="00163B96" w:rsidRPr="00CD1301" w:rsidRDefault="00163B96" w:rsidP="00163B96">
      <w:pPr>
        <w:pStyle w:val="0"/>
        <w:spacing w:before="120" w:after="120"/>
        <w:rPr>
          <w:color w:val="000000" w:themeColor="text1"/>
          <w:szCs w:val="20"/>
          <w:lang w:val="uk-UA" w:eastAsia="ru-RU"/>
        </w:rPr>
      </w:pPr>
      <w:r w:rsidRPr="00CD1301">
        <w:rPr>
          <w:color w:val="000000" w:themeColor="text1"/>
          <w:szCs w:val="20"/>
          <w:lang w:val="uk-UA" w:eastAsia="ru-RU"/>
        </w:rPr>
        <w:t xml:space="preserve">Загалом економічний розвиток у 2020 році, незважаючи на певні коливання окремих показників економічної діяльності, що були спричинені специфічними обставинами, формує основу для подальшого якісного економічного зростання в умовах продовження реалізації задекларованих умов. </w:t>
      </w:r>
    </w:p>
    <w:p w14:paraId="5F026B6F" w14:textId="77777777" w:rsidR="00163B96" w:rsidRPr="00CD1301" w:rsidRDefault="00163B96" w:rsidP="00163B96">
      <w:pPr>
        <w:pStyle w:val="0"/>
        <w:spacing w:before="120" w:after="120"/>
        <w:rPr>
          <w:color w:val="000000" w:themeColor="text1"/>
          <w:szCs w:val="20"/>
          <w:lang w:val="uk-UA" w:eastAsia="ru-RU"/>
        </w:rPr>
      </w:pPr>
      <w:r w:rsidRPr="00CD1301">
        <w:rPr>
          <w:color w:val="000000" w:themeColor="text1"/>
          <w:szCs w:val="20"/>
          <w:lang w:val="uk-UA" w:eastAsia="ru-RU"/>
        </w:rPr>
        <w:t>Незважаючи на певні покращення у 2020 році, остаточний результат політичної та економічної ситуації в Україні та її наслідки передбачити вкрай складно, проте вони можуть мати подальший суттєвий вплив на економіку України та бізнес Компанії.</w:t>
      </w:r>
    </w:p>
    <w:p w14:paraId="5F0A85AB" w14:textId="77777777" w:rsidR="00526432" w:rsidRDefault="00526432" w:rsidP="00526432">
      <w:pPr>
        <w:pStyle w:val="0"/>
        <w:spacing w:before="120" w:after="120"/>
        <w:rPr>
          <w:color w:val="000000" w:themeColor="text1"/>
          <w:szCs w:val="20"/>
          <w:lang w:val="uk-UA" w:eastAsia="ru-RU"/>
        </w:rPr>
      </w:pPr>
      <w:r>
        <w:rPr>
          <w:color w:val="000000" w:themeColor="text1"/>
          <w:szCs w:val="20"/>
          <w:lang w:val="uk-UA" w:eastAsia="ru-RU"/>
        </w:rPr>
        <w:t xml:space="preserve">Необхідно зазначити, що діяльність Компанії відноситься до фармацевтичної галузі України, яка є однією із найбільш конкурентних  та в цілому відіграє значну роль в розвитку національної економіки. </w:t>
      </w:r>
      <w:r w:rsidRPr="001757B3">
        <w:rPr>
          <w:color w:val="000000" w:themeColor="text1"/>
          <w:szCs w:val="20"/>
          <w:lang w:val="uk-UA" w:eastAsia="ru-RU"/>
        </w:rPr>
        <w:t>Проте, спалах COVID-19, запровадження карантинних обмежень в</w:t>
      </w:r>
      <w:r>
        <w:rPr>
          <w:color w:val="000000" w:themeColor="text1"/>
          <w:szCs w:val="20"/>
          <w:lang w:val="uk-UA" w:eastAsia="ru-RU"/>
        </w:rPr>
        <w:t xml:space="preserve"> Україні та світі суттєво позначилося на розвитку вітчизняного фармацевтичного ринку.</w:t>
      </w:r>
    </w:p>
    <w:p w14:paraId="0F5206B0" w14:textId="77777777" w:rsidR="00163B96" w:rsidRPr="00CD1301" w:rsidRDefault="00163B96" w:rsidP="00163B96">
      <w:pPr>
        <w:shd w:val="clear" w:color="auto" w:fill="FFFFFF"/>
        <w:spacing w:before="120" w:after="120"/>
        <w:rPr>
          <w:color w:val="000000" w:themeColor="text1"/>
          <w:szCs w:val="20"/>
        </w:rPr>
      </w:pPr>
      <w:r w:rsidRPr="00CD1301">
        <w:rPr>
          <w:color w:val="000000" w:themeColor="text1"/>
          <w:szCs w:val="20"/>
        </w:rPr>
        <w:t>Важливо підкреслити, що карантин спричинив ряд деформацій у споживанні лікарських засобів. Так, після оголошення карантину у березні на фоні паніки, яка охопила частину населення й змусила запасатися життєво-важливими товарами, відбулося шалене збільшення обсягів продажу лікарських засобів, зокрема противірусних препаратів, антисептичних та дезінфікуючих засобів. Під дією панічного попиту динаміка залишків на полицях досягала +50%. Проте далі слідував різкий спад споживання у квітні, зумовлений карантинними обмеженнями. Досі темпи закупівель та залишків на полицях аптек перевищують темпи зростання продажу.</w:t>
      </w:r>
    </w:p>
    <w:p w14:paraId="423EC8D2" w14:textId="77777777" w:rsidR="00526432" w:rsidRDefault="00526432" w:rsidP="00526432">
      <w:pPr>
        <w:shd w:val="clear" w:color="auto" w:fill="FFFFFF"/>
        <w:spacing w:before="120" w:after="120"/>
        <w:rPr>
          <w:color w:val="000000" w:themeColor="text1"/>
          <w:szCs w:val="20"/>
        </w:rPr>
      </w:pPr>
      <w:r>
        <w:rPr>
          <w:color w:val="000000" w:themeColor="text1"/>
          <w:szCs w:val="20"/>
        </w:rPr>
        <w:t xml:space="preserve">Обмеження проведення планових операцій та відвідування пацієнтами лікарень на період карантину зумовили зменшення обсягів продажу таких груп препаратів, </w:t>
      </w:r>
      <w:r w:rsidRPr="001757B3">
        <w:rPr>
          <w:color w:val="000000" w:themeColor="text1"/>
          <w:szCs w:val="20"/>
        </w:rPr>
        <w:t>як серцевосудинні та неврологічні,  інфузійні  розчини. Хоча карантин було частково знято, обсяги продажу даних груп препаратів не поспішають повертатися на докарантинний рівень. Свою роль відіграє</w:t>
      </w:r>
      <w:r>
        <w:rPr>
          <w:color w:val="000000" w:themeColor="text1"/>
          <w:szCs w:val="20"/>
        </w:rPr>
        <w:t>, ймовірно, й страх населення без особливої необхідності звертатися до лікарні та наважуватися на операції, поки є загроза COVID-19.</w:t>
      </w:r>
    </w:p>
    <w:p w14:paraId="71EBC009" w14:textId="6492F80C" w:rsidR="00163B96" w:rsidRPr="00CD1301" w:rsidRDefault="00163B96" w:rsidP="00526432">
      <w:pPr>
        <w:pStyle w:val="0"/>
        <w:spacing w:before="120" w:after="120"/>
        <w:rPr>
          <w:color w:val="000000" w:themeColor="text1"/>
          <w:szCs w:val="20"/>
          <w:lang w:val="uk-UA" w:eastAsia="ru-RU"/>
        </w:rPr>
      </w:pPr>
      <w:r w:rsidRPr="00CD1301">
        <w:rPr>
          <w:color w:val="000000" w:themeColor="text1"/>
          <w:szCs w:val="20"/>
          <w:lang w:val="uk-UA" w:eastAsia="ru-RU"/>
        </w:rPr>
        <w:t>Можна стверджувати, що швидкість відновлення українського фармацевтичного бiзнесу залежатиме від подальшого розвитку ситуації із захворюваністю на COVID-19 і, в</w:t>
      </w:r>
      <w:r w:rsidR="00526432">
        <w:rPr>
          <w:color w:val="000000" w:themeColor="text1"/>
          <w:szCs w:val="20"/>
          <w:lang w:val="uk-UA" w:eastAsia="ru-RU"/>
        </w:rPr>
        <w:t>ідповідно, карантинних обмежень.</w:t>
      </w:r>
      <w:r w:rsidRPr="00CD1301">
        <w:rPr>
          <w:color w:val="000000" w:themeColor="text1"/>
          <w:szCs w:val="20"/>
          <w:lang w:val="uk-UA" w:eastAsia="ru-RU"/>
        </w:rPr>
        <w:t xml:space="preserve"> </w:t>
      </w:r>
    </w:p>
    <w:p w14:paraId="7C331858" w14:textId="4C485BA3" w:rsidR="00163B96" w:rsidRPr="00CD1301" w:rsidRDefault="00163B96" w:rsidP="00163B96">
      <w:pPr>
        <w:pStyle w:val="0"/>
        <w:spacing w:before="120" w:after="120"/>
        <w:rPr>
          <w:color w:val="000000" w:themeColor="text1"/>
          <w:szCs w:val="20"/>
          <w:lang w:val="uk-UA" w:eastAsia="ru-RU"/>
        </w:rPr>
      </w:pPr>
      <w:r w:rsidRPr="00CD1301">
        <w:rPr>
          <w:color w:val="000000" w:themeColor="text1"/>
          <w:szCs w:val="20"/>
          <w:lang w:val="uk-UA" w:eastAsia="ru-RU"/>
        </w:rPr>
        <w:t xml:space="preserve">Сильними сторонами Компанії є місткість внутрішнього ринку, значний досвід виготовлення лікарських засобів, присутність на зовнішніх ринках, а також наявність </w:t>
      </w:r>
      <w:r w:rsidR="00044D45" w:rsidRPr="001757B3">
        <w:rPr>
          <w:color w:val="000000" w:themeColor="text1"/>
          <w:szCs w:val="20"/>
          <w:lang w:val="uk-UA" w:eastAsia="ru-RU"/>
        </w:rPr>
        <w:t>широкого</w:t>
      </w:r>
      <w:r w:rsidRPr="00CD1301">
        <w:rPr>
          <w:color w:val="000000" w:themeColor="text1"/>
          <w:szCs w:val="20"/>
          <w:lang w:val="uk-UA" w:eastAsia="ru-RU"/>
        </w:rPr>
        <w:t xml:space="preserve"> асортименту основної фармацевтичної продукції, необхідної наукової освітньої бази та кваліфікованих кадрів. Компанія відноситься до провідних вітчизняних виробників лікарських засобів.</w:t>
      </w:r>
    </w:p>
    <w:p w14:paraId="152EF879" w14:textId="77777777" w:rsidR="00D14C80" w:rsidRPr="006A014B" w:rsidRDefault="00D14C80" w:rsidP="00D14C80">
      <w:pPr>
        <w:pStyle w:val="1"/>
        <w:rPr>
          <w:color w:val="000000" w:themeColor="text1"/>
        </w:rPr>
      </w:pPr>
      <w:bookmarkStart w:id="12" w:name="_Toc68253956"/>
      <w:r w:rsidRPr="006A014B">
        <w:rPr>
          <w:color w:val="000000" w:themeColor="text1"/>
        </w:rPr>
        <w:t>З</w:t>
      </w:r>
      <w:r>
        <w:rPr>
          <w:color w:val="000000" w:themeColor="text1"/>
        </w:rPr>
        <w:t>датність продовжувати діяльність на безперервній основі</w:t>
      </w:r>
      <w:bookmarkEnd w:id="8"/>
      <w:bookmarkEnd w:id="9"/>
      <w:bookmarkEnd w:id="10"/>
      <w:bookmarkEnd w:id="11"/>
      <w:bookmarkEnd w:id="12"/>
    </w:p>
    <w:p w14:paraId="45FEF66D" w14:textId="77777777" w:rsidR="00D14C80" w:rsidRPr="00206AC1" w:rsidRDefault="00D14C80" w:rsidP="00D14C80">
      <w:pPr>
        <w:spacing w:before="120" w:after="120"/>
        <w:rPr>
          <w:szCs w:val="20"/>
        </w:rPr>
      </w:pPr>
      <w:r w:rsidRPr="00206AC1">
        <w:rPr>
          <w:szCs w:val="20"/>
        </w:rPr>
        <w:t>Припущення про безперервність діяльності є фундаментальним принципом підготовки фінансової звітності. Фінансова звітність була підготовлена виходячи із припущення, що Компанія буде продовжувати діяльність, як діюче підприємство,  на безперервній основі в досяжному майбутньому і не має наміру або потреби в ліквідації активів та припинення виробничого процесу. Відповідно, активи та зобов'язання враховуються на тій підставі, що Компанія зможе виконати свої зобов'язання i реалізувати свої активи в ході свого нормальної операційної діяльності.</w:t>
      </w:r>
    </w:p>
    <w:p w14:paraId="78E0585B" w14:textId="3CF994C3" w:rsidR="00E17A06" w:rsidRPr="00695EF8" w:rsidRDefault="00E17A06" w:rsidP="00E17A06">
      <w:pPr>
        <w:rPr>
          <w:szCs w:val="20"/>
        </w:rPr>
      </w:pPr>
      <w:r w:rsidRPr="002727C0">
        <w:rPr>
          <w:szCs w:val="20"/>
        </w:rPr>
        <w:t>Станом на 31 грудня 20</w:t>
      </w:r>
      <w:r>
        <w:rPr>
          <w:szCs w:val="20"/>
        </w:rPr>
        <w:t>20</w:t>
      </w:r>
      <w:r w:rsidRPr="002727C0">
        <w:rPr>
          <w:szCs w:val="20"/>
        </w:rPr>
        <w:t xml:space="preserve"> року Компанія є боржником перед АТ Банк «Фінанси і кредит» за </w:t>
      </w:r>
      <w:r w:rsidRPr="00964F86">
        <w:rPr>
          <w:szCs w:val="20"/>
        </w:rPr>
        <w:t xml:space="preserve">кредитами, </w:t>
      </w:r>
      <w:r w:rsidRPr="00695EF8">
        <w:rPr>
          <w:szCs w:val="20"/>
        </w:rPr>
        <w:t>отриманими згідно</w:t>
      </w:r>
      <w:r w:rsidRPr="00964F86">
        <w:rPr>
          <w:szCs w:val="20"/>
        </w:rPr>
        <w:t xml:space="preserve">  </w:t>
      </w:r>
      <w:r w:rsidRPr="00695EF8">
        <w:rPr>
          <w:szCs w:val="20"/>
        </w:rPr>
        <w:t>кредитних договорів, підписаних між Компанією та АТ</w:t>
      </w:r>
      <w:r w:rsidR="00964F86">
        <w:rPr>
          <w:szCs w:val="20"/>
        </w:rPr>
        <w:t xml:space="preserve"> «Банк</w:t>
      </w:r>
      <w:r w:rsidRPr="00695EF8">
        <w:rPr>
          <w:szCs w:val="20"/>
        </w:rPr>
        <w:t xml:space="preserve"> «Фінанси і кредит» </w:t>
      </w:r>
      <w:r w:rsidR="00964F86">
        <w:rPr>
          <w:szCs w:val="20"/>
        </w:rPr>
        <w:t>.</w:t>
      </w:r>
      <w:r w:rsidRPr="00695EF8">
        <w:rPr>
          <w:szCs w:val="20"/>
        </w:rPr>
        <w:t xml:space="preserve">Зобов’язання Компанії за отриманими кредитами, що зазначені у фінансовій звітності Компанії у складі поточних зобов’язань станом на 31.12.2020, складають </w:t>
      </w:r>
      <w:r w:rsidRPr="00695EF8">
        <w:t xml:space="preserve">1 394 964 </w:t>
      </w:r>
      <w:r w:rsidR="00F92B63">
        <w:rPr>
          <w:szCs w:val="20"/>
        </w:rPr>
        <w:t>тис. грн</w:t>
      </w:r>
      <w:r w:rsidRPr="00695EF8">
        <w:rPr>
          <w:szCs w:val="20"/>
        </w:rPr>
        <w:t xml:space="preserve">, з яких </w:t>
      </w:r>
      <w:r w:rsidRPr="00695EF8">
        <w:t>709 756  </w:t>
      </w:r>
      <w:r w:rsidR="00F92B63">
        <w:rPr>
          <w:szCs w:val="20"/>
        </w:rPr>
        <w:t>тис. грн</w:t>
      </w:r>
      <w:r w:rsidRPr="00695EF8">
        <w:rPr>
          <w:szCs w:val="20"/>
        </w:rPr>
        <w:t xml:space="preserve"> – відсотки та </w:t>
      </w:r>
      <w:r w:rsidRPr="00695EF8">
        <w:t>152 516  тис</w:t>
      </w:r>
      <w:r w:rsidR="00F92B63">
        <w:t>.</w:t>
      </w:r>
      <w:r w:rsidRPr="00695EF8">
        <w:t xml:space="preserve"> грн комісія.</w:t>
      </w:r>
      <w:r w:rsidRPr="00695EF8">
        <w:rPr>
          <w:szCs w:val="20"/>
        </w:rPr>
        <w:t xml:space="preserve"> </w:t>
      </w:r>
    </w:p>
    <w:p w14:paraId="51AAA513" w14:textId="3F10D421" w:rsidR="00E17A06" w:rsidRPr="002727C0" w:rsidRDefault="00E17A06" w:rsidP="00E17A06">
      <w:pPr>
        <w:rPr>
          <w:szCs w:val="20"/>
        </w:rPr>
      </w:pPr>
      <w:r w:rsidRPr="00695EF8">
        <w:rPr>
          <w:szCs w:val="20"/>
        </w:rPr>
        <w:lastRenderedPageBreak/>
        <w:t>З метою забезпечення виконання зобов'язань по кредитах, отриманих у АТ «Банк «Фінанси</w:t>
      </w:r>
      <w:r w:rsidRPr="002727C0">
        <w:rPr>
          <w:szCs w:val="20"/>
        </w:rPr>
        <w:t xml:space="preserve"> та кредит» Компанією передано у заставу основні засоби чистою балансовою вартістю </w:t>
      </w:r>
      <w:r w:rsidR="003B0D1F">
        <w:rPr>
          <w:szCs w:val="20"/>
        </w:rPr>
        <w:t xml:space="preserve">137 423 </w:t>
      </w:r>
      <w:r w:rsidRPr="002727C0">
        <w:rPr>
          <w:szCs w:val="20"/>
        </w:rPr>
        <w:t>тис. грн.</w:t>
      </w:r>
    </w:p>
    <w:p w14:paraId="1A8BBA39" w14:textId="2400D7BF" w:rsidR="00E17A06" w:rsidRDefault="00E17A06" w:rsidP="00E17A06">
      <w:pPr>
        <w:rPr>
          <w:szCs w:val="20"/>
        </w:rPr>
      </w:pPr>
      <w:r w:rsidRPr="002727C0">
        <w:rPr>
          <w:szCs w:val="20"/>
        </w:rPr>
        <w:t>Протягом 20</w:t>
      </w:r>
      <w:r>
        <w:rPr>
          <w:szCs w:val="20"/>
        </w:rPr>
        <w:t>20</w:t>
      </w:r>
      <w:r w:rsidRPr="002727C0">
        <w:rPr>
          <w:szCs w:val="20"/>
        </w:rPr>
        <w:t xml:space="preserve"> року Компанія пога</w:t>
      </w:r>
      <w:r>
        <w:rPr>
          <w:szCs w:val="20"/>
        </w:rPr>
        <w:t xml:space="preserve">сила </w:t>
      </w:r>
      <w:r w:rsidRPr="002727C0">
        <w:rPr>
          <w:szCs w:val="20"/>
        </w:rPr>
        <w:t xml:space="preserve"> відсотків на суму </w:t>
      </w:r>
      <w:r>
        <w:rPr>
          <w:szCs w:val="20"/>
        </w:rPr>
        <w:t xml:space="preserve">на суму </w:t>
      </w:r>
      <w:r w:rsidR="00232EB5">
        <w:rPr>
          <w:szCs w:val="20"/>
        </w:rPr>
        <w:t>5 710</w:t>
      </w:r>
      <w:r>
        <w:rPr>
          <w:szCs w:val="20"/>
        </w:rPr>
        <w:t xml:space="preserve"> тис.</w:t>
      </w:r>
      <w:r w:rsidR="00F92B63">
        <w:rPr>
          <w:szCs w:val="20"/>
        </w:rPr>
        <w:t xml:space="preserve"> </w:t>
      </w:r>
      <w:r>
        <w:rPr>
          <w:szCs w:val="20"/>
        </w:rPr>
        <w:t>грн.</w:t>
      </w:r>
      <w:r w:rsidR="00232EB5">
        <w:rPr>
          <w:szCs w:val="20"/>
        </w:rPr>
        <w:t xml:space="preserve"> </w:t>
      </w:r>
      <w:r w:rsidR="00232EB5" w:rsidRPr="00E638CD">
        <w:rPr>
          <w:szCs w:val="20"/>
        </w:rPr>
        <w:t>Крім того, було</w:t>
      </w:r>
      <w:r w:rsidR="002E4E8C" w:rsidRPr="00E638CD">
        <w:rPr>
          <w:szCs w:val="20"/>
        </w:rPr>
        <w:t xml:space="preserve"> погашено </w:t>
      </w:r>
      <w:r w:rsidR="00232EB5" w:rsidRPr="00E638CD">
        <w:rPr>
          <w:szCs w:val="20"/>
        </w:rPr>
        <w:t xml:space="preserve">боргу в розмірі 1 068 тис. грн. за відсотками по кредитах  </w:t>
      </w:r>
      <w:r w:rsidR="002E4E8C" w:rsidRPr="00E638CD">
        <w:rPr>
          <w:szCs w:val="20"/>
        </w:rPr>
        <w:t>третіми особами.</w:t>
      </w:r>
    </w:p>
    <w:p w14:paraId="7D73DAE5" w14:textId="77777777" w:rsidR="00E17A06" w:rsidRPr="002727C0" w:rsidRDefault="00E17A06" w:rsidP="00E17A06">
      <w:pPr>
        <w:rPr>
          <w:szCs w:val="20"/>
        </w:rPr>
      </w:pPr>
    </w:p>
    <w:p w14:paraId="60A17A40" w14:textId="4D6CF4AD" w:rsidR="00E17A06" w:rsidRPr="00837544" w:rsidRDefault="00E17A06" w:rsidP="00E17A06">
      <w:pPr>
        <w:rPr>
          <w:szCs w:val="20"/>
        </w:rPr>
      </w:pPr>
      <w:r w:rsidRPr="00837544">
        <w:rPr>
          <w:szCs w:val="20"/>
        </w:rPr>
        <w:t xml:space="preserve">Протягом останніх  років </w:t>
      </w:r>
      <w:r>
        <w:rPr>
          <w:szCs w:val="20"/>
        </w:rPr>
        <w:t>АТ «Галичфарм»</w:t>
      </w:r>
      <w:r w:rsidRPr="00837544">
        <w:rPr>
          <w:szCs w:val="20"/>
        </w:rPr>
        <w:t xml:space="preserve"> проводить апеляційну роботу щодо скасування відсотків, нарахованих Банком за підвищеними ставками та по врегулюванню питань щодо можливих стягнень. Ухвалою Господарського суду Львівської області від 05.06.2019р. відкрито провадження у справі № 914/2191/18 за позовом АТ Банк «Фінанси і кредит» до АТ «Галичфарм» про стягнення заборгованості за кредитними договорами. За клопотанням АТ «Галичфарм», ухвалою суду призначено судово-економічну експертизу у даній справі та </w:t>
      </w:r>
      <w:r w:rsidR="009836EE" w:rsidRPr="00837544">
        <w:rPr>
          <w:szCs w:val="20"/>
        </w:rPr>
        <w:t>зупинен</w:t>
      </w:r>
      <w:r w:rsidR="00B16F47">
        <w:rPr>
          <w:szCs w:val="20"/>
        </w:rPr>
        <w:t>о</w:t>
      </w:r>
      <w:r w:rsidRPr="00837544">
        <w:rPr>
          <w:szCs w:val="20"/>
        </w:rPr>
        <w:t xml:space="preserve"> її розгляд до отримання висновку експерта. На даний час справа перебуває в експертизі.</w:t>
      </w:r>
    </w:p>
    <w:p w14:paraId="6675B162" w14:textId="011557B4" w:rsidR="00E17A06" w:rsidRPr="002727C0" w:rsidRDefault="00E17A06" w:rsidP="006D4C0A">
      <w:pPr>
        <w:widowControl w:val="0"/>
        <w:shd w:val="clear" w:color="auto" w:fill="FFFFFF"/>
        <w:tabs>
          <w:tab w:val="left" w:pos="426"/>
        </w:tabs>
        <w:autoSpaceDE w:val="0"/>
        <w:autoSpaceDN w:val="0"/>
        <w:spacing w:before="240" w:after="240"/>
        <w:rPr>
          <w:szCs w:val="20"/>
          <w:lang w:eastAsia="zh-CN"/>
        </w:rPr>
      </w:pPr>
      <w:r w:rsidRPr="00837544">
        <w:rPr>
          <w:szCs w:val="20"/>
        </w:rPr>
        <w:t xml:space="preserve"> </w:t>
      </w:r>
      <w:r w:rsidRPr="002727C0">
        <w:rPr>
          <w:szCs w:val="20"/>
          <w:lang w:eastAsia="zh-CN"/>
        </w:rPr>
        <w:t>Керівництво Компанії переконано, що має усі передумови для забезпечення безперервної діяльності у майбутньому та у Компанії не існує суттєвої невизначеності щодо подій або умов, які могли б поставити під значний сумнів здатність Компанії продовжувати свою діяльність на безперервній основі.</w:t>
      </w:r>
    </w:p>
    <w:p w14:paraId="4C22E5BA" w14:textId="77777777" w:rsidR="00E17A06" w:rsidRPr="002727C0" w:rsidRDefault="00E17A06" w:rsidP="00E17A06">
      <w:pPr>
        <w:spacing w:before="120" w:after="120"/>
        <w:rPr>
          <w:bCs/>
          <w:color w:val="000000" w:themeColor="text1"/>
          <w:szCs w:val="20"/>
        </w:rPr>
      </w:pPr>
      <w:r w:rsidRPr="001F3FC9">
        <w:rPr>
          <w:color w:val="000000" w:themeColor="text1"/>
          <w:szCs w:val="20"/>
        </w:rPr>
        <w:t xml:space="preserve">За рік, що закінчився 31 грудня 2020 року, </w:t>
      </w:r>
      <w:r w:rsidRPr="001F3FC9">
        <w:rPr>
          <w:szCs w:val="20"/>
          <w:lang w:eastAsia="uk-UA"/>
        </w:rPr>
        <w:t xml:space="preserve">Чистий рух грошових коштів від операційної діяльності Компанії становить 104 124 тис. грн., </w:t>
      </w:r>
      <w:r w:rsidRPr="001F3FC9">
        <w:rPr>
          <w:color w:val="000000" w:themeColor="text1"/>
          <w:szCs w:val="20"/>
        </w:rPr>
        <w:t>прибуток Компанії склав 33 332 тис. грн. Станом на 31 грудня 2020 року поточні активи Компанії перевищують її поточні зобов’язання</w:t>
      </w:r>
      <w:r w:rsidRPr="001F3FC9">
        <w:rPr>
          <w:bCs/>
          <w:color w:val="000000" w:themeColor="text1"/>
          <w:szCs w:val="20"/>
        </w:rPr>
        <w:t xml:space="preserve"> на </w:t>
      </w:r>
      <w:r w:rsidRPr="001F3FC9">
        <w:rPr>
          <w:bCs/>
          <w:color w:val="000000" w:themeColor="text1"/>
          <w:szCs w:val="20"/>
          <w:lang w:val="ru-RU"/>
        </w:rPr>
        <w:t>326 622 </w:t>
      </w:r>
      <w:r w:rsidRPr="001F3FC9">
        <w:rPr>
          <w:bCs/>
          <w:color w:val="000000" w:themeColor="text1"/>
          <w:szCs w:val="20"/>
        </w:rPr>
        <w:t>тис. грн.</w:t>
      </w:r>
      <w:r w:rsidRPr="002727C0">
        <w:rPr>
          <w:bCs/>
          <w:color w:val="000000" w:themeColor="text1"/>
          <w:szCs w:val="20"/>
        </w:rPr>
        <w:t xml:space="preserve"> </w:t>
      </w:r>
    </w:p>
    <w:p w14:paraId="71D3E456" w14:textId="77777777" w:rsidR="00E17A06" w:rsidRPr="002727C0" w:rsidRDefault="00E17A06" w:rsidP="00E17A06">
      <w:pPr>
        <w:widowControl w:val="0"/>
        <w:shd w:val="clear" w:color="auto" w:fill="FFFFFF"/>
        <w:tabs>
          <w:tab w:val="left" w:pos="426"/>
        </w:tabs>
        <w:autoSpaceDE w:val="0"/>
        <w:autoSpaceDN w:val="0"/>
        <w:spacing w:before="240" w:after="240"/>
        <w:rPr>
          <w:color w:val="auto"/>
          <w:szCs w:val="20"/>
          <w:lang w:eastAsia="zh-CN"/>
        </w:rPr>
      </w:pPr>
      <w:r w:rsidRPr="002727C0">
        <w:rPr>
          <w:color w:val="auto"/>
          <w:szCs w:val="20"/>
          <w:lang w:eastAsia="zh-CN"/>
        </w:rPr>
        <w:t xml:space="preserve">Управлінським персоналом Компанії </w:t>
      </w:r>
      <w:r w:rsidRPr="002727C0">
        <w:rPr>
          <w:color w:val="auto"/>
          <w:szCs w:val="20"/>
        </w:rPr>
        <w:t>впроваджуються певні заходи відносно  врегулювання боргу  по кредитах, а саме :</w:t>
      </w:r>
      <w:r w:rsidRPr="002727C0">
        <w:rPr>
          <w:color w:val="auto"/>
          <w:szCs w:val="20"/>
          <w:lang w:eastAsia="zh-CN"/>
        </w:rPr>
        <w:t xml:space="preserve"> </w:t>
      </w:r>
    </w:p>
    <w:p w14:paraId="68EBBA4A" w14:textId="77777777" w:rsidR="00E17A06" w:rsidRPr="002727C0" w:rsidRDefault="00E17A06" w:rsidP="00E17A06">
      <w:pPr>
        <w:pStyle w:val="af0"/>
        <w:widowControl w:val="0"/>
        <w:numPr>
          <w:ilvl w:val="0"/>
          <w:numId w:val="41"/>
        </w:numPr>
        <w:shd w:val="clear" w:color="auto" w:fill="FFFFFF"/>
        <w:tabs>
          <w:tab w:val="left" w:pos="426"/>
        </w:tabs>
        <w:autoSpaceDE w:val="0"/>
        <w:autoSpaceDN w:val="0"/>
        <w:spacing w:before="240" w:after="240"/>
        <w:rPr>
          <w:color w:val="auto"/>
          <w:szCs w:val="20"/>
          <w:lang w:eastAsia="zh-CN"/>
        </w:rPr>
      </w:pPr>
      <w:r w:rsidRPr="002727C0">
        <w:rPr>
          <w:color w:val="auto"/>
          <w:szCs w:val="20"/>
          <w:lang w:eastAsia="zh-CN"/>
        </w:rPr>
        <w:t>Проведено переговори з банківськими установами на предмет  можливості  погашення заборгованості за кредитами за рахунок додаткового залучення кредитних коштів;</w:t>
      </w:r>
    </w:p>
    <w:p w14:paraId="36569D3F" w14:textId="77777777" w:rsidR="00E17A06" w:rsidRPr="002727C0" w:rsidRDefault="00E17A06" w:rsidP="00E17A06">
      <w:pPr>
        <w:pStyle w:val="af0"/>
        <w:widowControl w:val="0"/>
        <w:numPr>
          <w:ilvl w:val="0"/>
          <w:numId w:val="41"/>
        </w:numPr>
        <w:shd w:val="clear" w:color="auto" w:fill="FFFFFF"/>
        <w:tabs>
          <w:tab w:val="left" w:pos="426"/>
        </w:tabs>
        <w:autoSpaceDE w:val="0"/>
        <w:autoSpaceDN w:val="0"/>
        <w:spacing w:before="240" w:after="240"/>
        <w:rPr>
          <w:color w:val="auto"/>
          <w:szCs w:val="20"/>
          <w:lang w:eastAsia="zh-CN"/>
        </w:rPr>
      </w:pPr>
      <w:r w:rsidRPr="002727C0">
        <w:rPr>
          <w:color w:val="auto"/>
          <w:szCs w:val="20"/>
          <w:lang w:eastAsia="zh-CN"/>
        </w:rPr>
        <w:t>Вживаються заходи щодо погашення дебіторської заборгованості. Вирішується питання  в судовому порядку про стягнення коштів з дебіторів;</w:t>
      </w:r>
    </w:p>
    <w:p w14:paraId="33DB5719" w14:textId="77777777" w:rsidR="00E17A06" w:rsidRPr="002727C0" w:rsidRDefault="00E17A06" w:rsidP="00E17A06">
      <w:pPr>
        <w:pStyle w:val="af0"/>
        <w:widowControl w:val="0"/>
        <w:numPr>
          <w:ilvl w:val="0"/>
          <w:numId w:val="41"/>
        </w:numPr>
        <w:shd w:val="clear" w:color="auto" w:fill="FFFFFF"/>
        <w:tabs>
          <w:tab w:val="left" w:pos="426"/>
        </w:tabs>
        <w:autoSpaceDE w:val="0"/>
        <w:autoSpaceDN w:val="0"/>
        <w:spacing w:before="240" w:after="240"/>
        <w:rPr>
          <w:color w:val="auto"/>
          <w:szCs w:val="20"/>
          <w:lang w:eastAsia="zh-CN"/>
        </w:rPr>
      </w:pPr>
      <w:r w:rsidRPr="002727C0">
        <w:rPr>
          <w:color w:val="auto"/>
          <w:szCs w:val="20"/>
          <w:lang w:eastAsia="zh-CN"/>
        </w:rPr>
        <w:t>Погашення  кредитів  за рахунок  прибутку підприємства і інших активів підприємства</w:t>
      </w:r>
      <w:r w:rsidRPr="002727C0">
        <w:rPr>
          <w:color w:val="auto"/>
          <w:szCs w:val="20"/>
          <w:lang w:val="ru-RU" w:eastAsia="zh-CN"/>
        </w:rPr>
        <w:t xml:space="preserve"> </w:t>
      </w:r>
      <w:r>
        <w:rPr>
          <w:color w:val="auto"/>
          <w:szCs w:val="20"/>
          <w:lang w:val="ru-RU" w:eastAsia="zh-CN"/>
        </w:rPr>
        <w:t xml:space="preserve">які </w:t>
      </w:r>
      <w:r w:rsidRPr="009836EE">
        <w:rPr>
          <w:color w:val="auto"/>
          <w:szCs w:val="20"/>
          <w:lang w:eastAsia="zh-CN"/>
        </w:rPr>
        <w:t>підприємством</w:t>
      </w:r>
      <w:r>
        <w:rPr>
          <w:color w:val="auto"/>
          <w:szCs w:val="20"/>
          <w:lang w:val="ru-RU" w:eastAsia="zh-CN"/>
        </w:rPr>
        <w:t xml:space="preserve"> </w:t>
      </w:r>
      <w:r w:rsidRPr="009836EE">
        <w:rPr>
          <w:color w:val="auto"/>
          <w:szCs w:val="20"/>
          <w:lang w:eastAsia="zh-CN"/>
        </w:rPr>
        <w:t>не використовуються в операційній діяльності</w:t>
      </w:r>
      <w:r w:rsidRPr="002727C0">
        <w:rPr>
          <w:color w:val="auto"/>
          <w:szCs w:val="20"/>
          <w:lang w:eastAsia="zh-CN"/>
        </w:rPr>
        <w:t>.</w:t>
      </w:r>
    </w:p>
    <w:p w14:paraId="00A9326D" w14:textId="77777777" w:rsidR="00E17A06" w:rsidRPr="002727C0" w:rsidRDefault="00E17A06" w:rsidP="00E17A06">
      <w:pPr>
        <w:widowControl w:val="0"/>
        <w:shd w:val="clear" w:color="auto" w:fill="FFFFFF"/>
        <w:tabs>
          <w:tab w:val="left" w:pos="426"/>
        </w:tabs>
        <w:autoSpaceDE w:val="0"/>
        <w:autoSpaceDN w:val="0"/>
        <w:spacing w:before="240" w:after="240"/>
        <w:rPr>
          <w:color w:val="auto"/>
          <w:szCs w:val="20"/>
          <w:lang w:eastAsia="zh-CN"/>
        </w:rPr>
      </w:pPr>
      <w:r>
        <w:rPr>
          <w:color w:val="auto"/>
          <w:szCs w:val="20"/>
          <w:lang w:eastAsia="zh-CN"/>
        </w:rPr>
        <w:t>На 2021</w:t>
      </w:r>
      <w:r w:rsidRPr="002727C0">
        <w:rPr>
          <w:color w:val="auto"/>
          <w:szCs w:val="20"/>
          <w:lang w:eastAsia="zh-CN"/>
        </w:rPr>
        <w:t xml:space="preserve"> рік </w:t>
      </w:r>
      <w:r>
        <w:rPr>
          <w:color w:val="auto"/>
          <w:szCs w:val="20"/>
          <w:lang w:eastAsia="zh-CN"/>
        </w:rPr>
        <w:t xml:space="preserve">компанією </w:t>
      </w:r>
      <w:r w:rsidRPr="002727C0">
        <w:rPr>
          <w:color w:val="auto"/>
          <w:szCs w:val="20"/>
          <w:lang w:eastAsia="zh-CN"/>
        </w:rPr>
        <w:t xml:space="preserve"> заплановано виробництво і реалізація готової продукції , товарів , робіт та послуг , а саме :</w:t>
      </w:r>
    </w:p>
    <w:tbl>
      <w:tblPr>
        <w:tblW w:w="9782" w:type="dxa"/>
        <w:tblInd w:w="-11" w:type="dxa"/>
        <w:tblCellMar>
          <w:left w:w="0" w:type="dxa"/>
          <w:right w:w="0" w:type="dxa"/>
        </w:tblCellMar>
        <w:tblLook w:val="04A0" w:firstRow="1" w:lastRow="0" w:firstColumn="1" w:lastColumn="0" w:noHBand="0" w:noVBand="1"/>
      </w:tblPr>
      <w:tblGrid>
        <w:gridCol w:w="5530"/>
        <w:gridCol w:w="1984"/>
        <w:gridCol w:w="2268"/>
      </w:tblGrid>
      <w:tr w:rsidR="00E17A06" w:rsidRPr="002727C0" w14:paraId="4F085EF2" w14:textId="77777777" w:rsidTr="00C43FBA">
        <w:trPr>
          <w:trHeight w:val="317"/>
        </w:trPr>
        <w:tc>
          <w:tcPr>
            <w:tcW w:w="55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038FD" w14:textId="77777777" w:rsidR="00E17A06" w:rsidRPr="002727C0" w:rsidRDefault="00E17A06" w:rsidP="002C7E46">
            <w:pPr>
              <w:rPr>
                <w:rFonts w:eastAsiaTheme="minorHAnsi"/>
                <w:color w:val="auto"/>
                <w:szCs w:val="20"/>
                <w:lang w:eastAsia="uk-UA"/>
              </w:rPr>
            </w:pPr>
            <w:r w:rsidRPr="002727C0">
              <w:rPr>
                <w:color w:val="auto"/>
                <w:szCs w:val="20"/>
                <w:lang w:eastAsia="uk-UA"/>
              </w:rPr>
              <w:t>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97475D" w14:textId="77777777" w:rsidR="00E17A06" w:rsidRPr="002727C0" w:rsidRDefault="00E17A06" w:rsidP="002C7E46">
            <w:pPr>
              <w:jc w:val="center"/>
              <w:rPr>
                <w:rFonts w:eastAsiaTheme="minorHAnsi"/>
                <w:b/>
                <w:bCs/>
                <w:color w:val="auto"/>
                <w:szCs w:val="20"/>
                <w:lang w:eastAsia="uk-UA"/>
              </w:rPr>
            </w:pPr>
            <w:r>
              <w:rPr>
                <w:b/>
                <w:bCs/>
                <w:color w:val="auto"/>
                <w:szCs w:val="20"/>
                <w:lang w:eastAsia="uk-UA"/>
              </w:rPr>
              <w:t>План продаж 2021</w:t>
            </w:r>
            <w:r w:rsidRPr="002727C0">
              <w:rPr>
                <w:b/>
                <w:bCs/>
                <w:color w:val="auto"/>
                <w:szCs w:val="20"/>
                <w:lang w:eastAsia="uk-UA"/>
              </w:rPr>
              <w:t>р. в тис.упак.</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9966C5" w14:textId="77777777" w:rsidR="00E17A06" w:rsidRPr="002727C0" w:rsidRDefault="00E17A06" w:rsidP="002C7E46">
            <w:pPr>
              <w:jc w:val="center"/>
              <w:rPr>
                <w:rFonts w:eastAsiaTheme="minorHAnsi"/>
                <w:b/>
                <w:bCs/>
                <w:color w:val="auto"/>
                <w:szCs w:val="20"/>
                <w:lang w:eastAsia="uk-UA"/>
              </w:rPr>
            </w:pPr>
            <w:r>
              <w:rPr>
                <w:b/>
                <w:bCs/>
                <w:color w:val="auto"/>
                <w:szCs w:val="20"/>
                <w:lang w:eastAsia="uk-UA"/>
              </w:rPr>
              <w:t>План продаж 2021</w:t>
            </w:r>
            <w:r w:rsidRPr="002727C0">
              <w:rPr>
                <w:b/>
                <w:bCs/>
                <w:color w:val="auto"/>
                <w:szCs w:val="20"/>
                <w:lang w:eastAsia="uk-UA"/>
              </w:rPr>
              <w:t>р. в тис.грн. без ПДВ</w:t>
            </w:r>
          </w:p>
        </w:tc>
      </w:tr>
      <w:tr w:rsidR="00E17A06" w:rsidRPr="002727C0" w14:paraId="1D5D6676" w14:textId="77777777" w:rsidTr="005C210A">
        <w:trPr>
          <w:trHeight w:val="264"/>
        </w:trPr>
        <w:tc>
          <w:tcPr>
            <w:tcW w:w="5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2F44EB" w14:textId="77777777" w:rsidR="00E17A06" w:rsidRPr="002727C0" w:rsidRDefault="00E17A06" w:rsidP="002C7E46">
            <w:pPr>
              <w:jc w:val="center"/>
              <w:rPr>
                <w:rFonts w:eastAsiaTheme="minorHAnsi"/>
                <w:b/>
                <w:bCs/>
                <w:color w:val="auto"/>
                <w:szCs w:val="20"/>
                <w:lang w:eastAsia="uk-UA"/>
              </w:rPr>
            </w:pPr>
            <w:r w:rsidRPr="002727C0">
              <w:rPr>
                <w:b/>
                <w:bCs/>
                <w:color w:val="auto"/>
                <w:szCs w:val="20"/>
                <w:lang w:eastAsia="uk-UA"/>
              </w:rPr>
              <w:t>Всього</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3A2D2" w14:textId="77777777" w:rsidR="00E17A06" w:rsidRPr="002727C0" w:rsidRDefault="00E17A06" w:rsidP="002C7E46">
            <w:pPr>
              <w:jc w:val="center"/>
              <w:rPr>
                <w:rFonts w:eastAsiaTheme="minorHAnsi"/>
                <w:b/>
                <w:bCs/>
                <w:color w:val="auto"/>
                <w:szCs w:val="20"/>
                <w:lang w:eastAsia="uk-UA"/>
              </w:rPr>
            </w:pPr>
            <w:r>
              <w:rPr>
                <w:rFonts w:eastAsiaTheme="minorHAnsi"/>
                <w:b/>
                <w:bCs/>
                <w:color w:val="auto"/>
                <w:szCs w:val="20"/>
                <w:lang w:eastAsia="uk-UA"/>
              </w:rPr>
              <w:t>34639,18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3A15A7" w14:textId="77777777" w:rsidR="00E17A06" w:rsidRPr="002727C0" w:rsidRDefault="00E17A06" w:rsidP="002C7E46">
            <w:pPr>
              <w:jc w:val="center"/>
              <w:rPr>
                <w:rFonts w:eastAsiaTheme="minorHAnsi"/>
                <w:b/>
                <w:bCs/>
                <w:color w:val="auto"/>
                <w:szCs w:val="20"/>
                <w:lang w:eastAsia="uk-UA"/>
              </w:rPr>
            </w:pPr>
            <w:r>
              <w:rPr>
                <w:rFonts w:eastAsiaTheme="minorHAnsi"/>
                <w:b/>
                <w:bCs/>
                <w:color w:val="auto"/>
                <w:szCs w:val="20"/>
                <w:lang w:eastAsia="uk-UA"/>
              </w:rPr>
              <w:t>1503159</w:t>
            </w:r>
          </w:p>
        </w:tc>
      </w:tr>
      <w:tr w:rsidR="00E17A06" w:rsidRPr="002727C0" w14:paraId="0136A3A1" w14:textId="77777777" w:rsidTr="005C210A">
        <w:trPr>
          <w:trHeight w:val="260"/>
        </w:trPr>
        <w:tc>
          <w:tcPr>
            <w:tcW w:w="5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307896" w14:textId="77777777" w:rsidR="00E17A06" w:rsidRPr="002727C0" w:rsidRDefault="00E17A06" w:rsidP="002C7E46">
            <w:pPr>
              <w:rPr>
                <w:rFonts w:eastAsiaTheme="minorHAnsi"/>
                <w:i/>
                <w:iCs/>
                <w:color w:val="auto"/>
                <w:szCs w:val="20"/>
                <w:lang w:eastAsia="uk-UA"/>
              </w:rPr>
            </w:pPr>
            <w:r w:rsidRPr="002727C0">
              <w:rPr>
                <w:i/>
                <w:iCs/>
                <w:color w:val="auto"/>
                <w:szCs w:val="20"/>
                <w:lang w:eastAsia="uk-UA"/>
              </w:rPr>
              <w:t>в т.ч. по формах випуску</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EE36B" w14:textId="77777777" w:rsidR="00E17A06" w:rsidRPr="002727C0" w:rsidRDefault="00E17A06" w:rsidP="002C7E46">
            <w:pPr>
              <w:rPr>
                <w:rFonts w:eastAsiaTheme="minorHAnsi"/>
                <w:color w:val="auto"/>
                <w:szCs w:val="20"/>
                <w:lang w:eastAsia="uk-UA"/>
              </w:rPr>
            </w:pPr>
            <w:r w:rsidRPr="002727C0">
              <w:rPr>
                <w:color w:val="auto"/>
                <w:szCs w:val="20"/>
                <w:lang w:eastAsia="uk-UA"/>
              </w:rPr>
              <w:t>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B739F1" w14:textId="77777777" w:rsidR="00E17A06" w:rsidRPr="002727C0" w:rsidRDefault="00E17A06" w:rsidP="002C7E46">
            <w:pPr>
              <w:rPr>
                <w:rFonts w:eastAsiaTheme="minorHAnsi"/>
                <w:color w:val="auto"/>
                <w:szCs w:val="20"/>
                <w:lang w:eastAsia="uk-UA"/>
              </w:rPr>
            </w:pPr>
            <w:r w:rsidRPr="002727C0">
              <w:rPr>
                <w:color w:val="auto"/>
                <w:szCs w:val="20"/>
                <w:lang w:eastAsia="uk-UA"/>
              </w:rPr>
              <w:t> </w:t>
            </w:r>
          </w:p>
        </w:tc>
      </w:tr>
      <w:tr w:rsidR="00E17A06" w:rsidRPr="002727C0" w14:paraId="360A165A" w14:textId="77777777" w:rsidTr="005C210A">
        <w:trPr>
          <w:trHeight w:val="264"/>
        </w:trPr>
        <w:tc>
          <w:tcPr>
            <w:tcW w:w="5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2FF922" w14:textId="77777777" w:rsidR="00E17A06" w:rsidRPr="002727C0" w:rsidRDefault="00E17A06" w:rsidP="00666DBD">
            <w:pPr>
              <w:jc w:val="left"/>
              <w:rPr>
                <w:rFonts w:eastAsiaTheme="minorHAnsi"/>
                <w:color w:val="auto"/>
                <w:szCs w:val="20"/>
                <w:lang w:eastAsia="uk-UA"/>
              </w:rPr>
            </w:pPr>
            <w:r w:rsidRPr="002727C0">
              <w:rPr>
                <w:color w:val="auto"/>
                <w:szCs w:val="20"/>
                <w:lang w:eastAsia="uk-UA"/>
              </w:rPr>
              <w:t>ін'єкції</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5562F" w14:textId="0072D64F"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12</w:t>
            </w:r>
            <w:r w:rsidR="005C210A">
              <w:rPr>
                <w:rFonts w:eastAsiaTheme="minorHAnsi"/>
                <w:color w:val="auto"/>
                <w:szCs w:val="20"/>
                <w:lang w:eastAsia="uk-UA"/>
              </w:rPr>
              <w:t xml:space="preserve"> </w:t>
            </w:r>
            <w:r>
              <w:rPr>
                <w:rFonts w:eastAsiaTheme="minorHAnsi"/>
                <w:color w:val="auto"/>
                <w:szCs w:val="20"/>
                <w:lang w:eastAsia="uk-UA"/>
              </w:rPr>
              <w:t>757,73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781D54" w14:textId="042DE2CD"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89</w:t>
            </w:r>
            <w:r w:rsidR="005C210A">
              <w:rPr>
                <w:rFonts w:eastAsiaTheme="minorHAnsi"/>
                <w:color w:val="auto"/>
                <w:szCs w:val="20"/>
                <w:lang w:eastAsia="uk-UA"/>
              </w:rPr>
              <w:t xml:space="preserve"> </w:t>
            </w:r>
            <w:r>
              <w:rPr>
                <w:rFonts w:eastAsiaTheme="minorHAnsi"/>
                <w:color w:val="auto"/>
                <w:szCs w:val="20"/>
                <w:lang w:eastAsia="uk-UA"/>
              </w:rPr>
              <w:t>8251,83</w:t>
            </w:r>
          </w:p>
        </w:tc>
      </w:tr>
      <w:tr w:rsidR="00E17A06" w:rsidRPr="002727C0" w14:paraId="27D212CB" w14:textId="77777777" w:rsidTr="005C210A">
        <w:trPr>
          <w:trHeight w:val="264"/>
        </w:trPr>
        <w:tc>
          <w:tcPr>
            <w:tcW w:w="5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0857AF" w14:textId="77777777" w:rsidR="00E17A06" w:rsidRPr="002727C0" w:rsidRDefault="00E17A06" w:rsidP="00666DBD">
            <w:pPr>
              <w:jc w:val="left"/>
              <w:rPr>
                <w:rFonts w:eastAsiaTheme="minorHAnsi"/>
                <w:color w:val="auto"/>
                <w:szCs w:val="20"/>
                <w:lang w:eastAsia="uk-UA"/>
              </w:rPr>
            </w:pPr>
            <w:r w:rsidRPr="002727C0">
              <w:rPr>
                <w:color w:val="auto"/>
                <w:szCs w:val="20"/>
                <w:lang w:eastAsia="uk-UA"/>
              </w:rPr>
              <w:t>інфузії</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189803" w14:textId="4BCAC791"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2</w:t>
            </w:r>
            <w:r w:rsidR="00D51598">
              <w:rPr>
                <w:rFonts w:eastAsiaTheme="minorHAnsi"/>
                <w:color w:val="auto"/>
                <w:szCs w:val="20"/>
                <w:lang w:val="ru-RU" w:eastAsia="uk-UA"/>
              </w:rPr>
              <w:t xml:space="preserve"> </w:t>
            </w:r>
            <w:r>
              <w:rPr>
                <w:rFonts w:eastAsiaTheme="minorHAnsi"/>
                <w:color w:val="auto"/>
                <w:szCs w:val="20"/>
                <w:lang w:eastAsia="uk-UA"/>
              </w:rPr>
              <w:t>774,93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8C70D8" w14:textId="065C5F93"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183</w:t>
            </w:r>
            <w:r w:rsidR="005C210A">
              <w:rPr>
                <w:rFonts w:eastAsiaTheme="minorHAnsi"/>
                <w:color w:val="auto"/>
                <w:szCs w:val="20"/>
                <w:lang w:eastAsia="uk-UA"/>
              </w:rPr>
              <w:t xml:space="preserve"> </w:t>
            </w:r>
            <w:r>
              <w:rPr>
                <w:rFonts w:eastAsiaTheme="minorHAnsi"/>
                <w:color w:val="auto"/>
                <w:szCs w:val="20"/>
                <w:lang w:eastAsia="uk-UA"/>
              </w:rPr>
              <w:t>192,25</w:t>
            </w:r>
          </w:p>
        </w:tc>
      </w:tr>
      <w:tr w:rsidR="00E17A06" w:rsidRPr="002727C0" w14:paraId="656062D1" w14:textId="77777777" w:rsidTr="005C210A">
        <w:trPr>
          <w:trHeight w:val="264"/>
        </w:trPr>
        <w:tc>
          <w:tcPr>
            <w:tcW w:w="5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27C732" w14:textId="77777777" w:rsidR="00E17A06" w:rsidRPr="002727C0" w:rsidRDefault="00E17A06" w:rsidP="00666DBD">
            <w:pPr>
              <w:jc w:val="left"/>
              <w:rPr>
                <w:rFonts w:eastAsiaTheme="minorHAnsi"/>
                <w:color w:val="auto"/>
                <w:szCs w:val="20"/>
                <w:lang w:eastAsia="uk-UA"/>
              </w:rPr>
            </w:pPr>
            <w:r w:rsidRPr="002727C0">
              <w:rPr>
                <w:color w:val="auto"/>
                <w:szCs w:val="20"/>
                <w:lang w:eastAsia="uk-UA"/>
              </w:rPr>
              <w:t>рідини та сиропи</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118DA6" w14:textId="3F5B4EB9"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7</w:t>
            </w:r>
            <w:r w:rsidR="005C210A">
              <w:rPr>
                <w:rFonts w:eastAsiaTheme="minorHAnsi"/>
                <w:color w:val="auto"/>
                <w:szCs w:val="20"/>
                <w:lang w:eastAsia="uk-UA"/>
              </w:rPr>
              <w:t xml:space="preserve"> </w:t>
            </w:r>
            <w:r>
              <w:rPr>
                <w:rFonts w:eastAsiaTheme="minorHAnsi"/>
                <w:color w:val="auto"/>
                <w:szCs w:val="20"/>
                <w:lang w:eastAsia="uk-UA"/>
              </w:rPr>
              <w:t>378,27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3F3E4" w14:textId="231AF83D"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300</w:t>
            </w:r>
            <w:r w:rsidR="005C210A">
              <w:rPr>
                <w:rFonts w:eastAsiaTheme="minorHAnsi"/>
                <w:color w:val="auto"/>
                <w:szCs w:val="20"/>
                <w:lang w:eastAsia="uk-UA"/>
              </w:rPr>
              <w:t xml:space="preserve"> </w:t>
            </w:r>
            <w:r>
              <w:rPr>
                <w:rFonts w:eastAsiaTheme="minorHAnsi"/>
                <w:color w:val="auto"/>
                <w:szCs w:val="20"/>
                <w:lang w:eastAsia="uk-UA"/>
              </w:rPr>
              <w:t>132,54</w:t>
            </w:r>
          </w:p>
        </w:tc>
      </w:tr>
      <w:tr w:rsidR="00E17A06" w:rsidRPr="002727C0" w14:paraId="7567D765" w14:textId="77777777" w:rsidTr="005C210A">
        <w:trPr>
          <w:trHeight w:val="264"/>
        </w:trPr>
        <w:tc>
          <w:tcPr>
            <w:tcW w:w="5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BBE8D5" w14:textId="77777777" w:rsidR="00E17A06" w:rsidRPr="002727C0" w:rsidRDefault="00E17A06" w:rsidP="00666DBD">
            <w:pPr>
              <w:jc w:val="left"/>
              <w:rPr>
                <w:rFonts w:eastAsiaTheme="minorHAnsi"/>
                <w:color w:val="auto"/>
                <w:szCs w:val="20"/>
                <w:lang w:eastAsia="uk-UA"/>
              </w:rPr>
            </w:pPr>
            <w:r w:rsidRPr="002727C0">
              <w:rPr>
                <w:color w:val="auto"/>
                <w:szCs w:val="20"/>
                <w:lang w:eastAsia="uk-UA"/>
              </w:rPr>
              <w:t>таблетки</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E00559" w14:textId="18A9E28C"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11</w:t>
            </w:r>
            <w:r w:rsidR="005C210A">
              <w:rPr>
                <w:rFonts w:eastAsiaTheme="minorHAnsi"/>
                <w:color w:val="auto"/>
                <w:szCs w:val="20"/>
                <w:lang w:eastAsia="uk-UA"/>
              </w:rPr>
              <w:t xml:space="preserve"> </w:t>
            </w:r>
            <w:r>
              <w:rPr>
                <w:rFonts w:eastAsiaTheme="minorHAnsi"/>
                <w:color w:val="auto"/>
                <w:szCs w:val="20"/>
                <w:lang w:eastAsia="uk-UA"/>
              </w:rPr>
              <w:t>728,25</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A1C98" w14:textId="719E6ED7" w:rsidR="00E17A06" w:rsidRPr="002727C0" w:rsidRDefault="00E17A06" w:rsidP="002C7E46">
            <w:pPr>
              <w:jc w:val="center"/>
              <w:rPr>
                <w:rFonts w:eastAsiaTheme="minorHAnsi"/>
                <w:color w:val="auto"/>
                <w:szCs w:val="20"/>
                <w:lang w:eastAsia="uk-UA"/>
              </w:rPr>
            </w:pPr>
            <w:r>
              <w:rPr>
                <w:rFonts w:eastAsiaTheme="minorHAnsi"/>
                <w:color w:val="auto"/>
                <w:szCs w:val="20"/>
                <w:lang w:eastAsia="uk-UA"/>
              </w:rPr>
              <w:t>121</w:t>
            </w:r>
            <w:r w:rsidR="005C210A">
              <w:rPr>
                <w:rFonts w:eastAsiaTheme="minorHAnsi"/>
                <w:color w:val="auto"/>
                <w:szCs w:val="20"/>
                <w:lang w:eastAsia="uk-UA"/>
              </w:rPr>
              <w:t xml:space="preserve"> </w:t>
            </w:r>
            <w:r>
              <w:rPr>
                <w:rFonts w:eastAsiaTheme="minorHAnsi"/>
                <w:color w:val="auto"/>
                <w:szCs w:val="20"/>
                <w:lang w:eastAsia="uk-UA"/>
              </w:rPr>
              <w:t>582,38</w:t>
            </w:r>
          </w:p>
        </w:tc>
      </w:tr>
    </w:tbl>
    <w:p w14:paraId="2BBF3847" w14:textId="2875B9AA" w:rsidR="00E17A06" w:rsidRPr="00B912E7" w:rsidRDefault="00D73FE7" w:rsidP="00E17A06">
      <w:pPr>
        <w:widowControl w:val="0"/>
        <w:shd w:val="clear" w:color="auto" w:fill="FFFFFF"/>
        <w:tabs>
          <w:tab w:val="left" w:pos="0"/>
        </w:tabs>
        <w:autoSpaceDE w:val="0"/>
        <w:autoSpaceDN w:val="0"/>
        <w:spacing w:before="240" w:after="240"/>
        <w:ind w:hanging="360"/>
        <w:rPr>
          <w:color w:val="auto"/>
          <w:szCs w:val="20"/>
          <w:lang w:eastAsia="zh-CN"/>
        </w:rPr>
      </w:pPr>
      <w:r>
        <w:rPr>
          <w:color w:val="auto"/>
          <w:szCs w:val="20"/>
          <w:lang w:val="ru-RU" w:eastAsia="zh-CN"/>
        </w:rPr>
        <w:t xml:space="preserve">       </w:t>
      </w:r>
      <w:r w:rsidR="00E17A06" w:rsidRPr="002727C0">
        <w:rPr>
          <w:color w:val="auto"/>
          <w:szCs w:val="20"/>
          <w:lang w:eastAsia="zh-CN"/>
        </w:rPr>
        <w:t>На</w:t>
      </w:r>
      <w:r w:rsidR="00E17A06">
        <w:rPr>
          <w:color w:val="auto"/>
          <w:szCs w:val="20"/>
          <w:lang w:eastAsia="zh-CN"/>
        </w:rPr>
        <w:t xml:space="preserve"> всю </w:t>
      </w:r>
      <w:r w:rsidR="00E17A06" w:rsidRPr="002727C0">
        <w:rPr>
          <w:color w:val="auto"/>
          <w:szCs w:val="20"/>
          <w:lang w:eastAsia="zh-CN"/>
        </w:rPr>
        <w:t xml:space="preserve"> вище</w:t>
      </w:r>
      <w:r w:rsidR="00E17A06">
        <w:rPr>
          <w:color w:val="auto"/>
          <w:szCs w:val="20"/>
          <w:lang w:eastAsia="zh-CN"/>
        </w:rPr>
        <w:t xml:space="preserve">вказану </w:t>
      </w:r>
      <w:r w:rsidR="00E17A06" w:rsidRPr="002727C0">
        <w:rPr>
          <w:color w:val="auto"/>
          <w:szCs w:val="20"/>
          <w:lang w:eastAsia="zh-CN"/>
        </w:rPr>
        <w:t xml:space="preserve"> продукцію вже підписані контракти на реалізацію </w:t>
      </w:r>
      <w:r w:rsidR="00666DBD">
        <w:rPr>
          <w:color w:val="auto"/>
          <w:szCs w:val="20"/>
          <w:lang w:eastAsia="zh-CN"/>
        </w:rPr>
        <w:t>як на</w:t>
      </w:r>
      <w:r w:rsidR="00C00588">
        <w:rPr>
          <w:color w:val="auto"/>
          <w:szCs w:val="20"/>
          <w:lang w:eastAsia="zh-CN"/>
        </w:rPr>
        <w:t xml:space="preserve"> території Украї</w:t>
      </w:r>
      <w:r w:rsidR="00E17A06" w:rsidRPr="002727C0">
        <w:rPr>
          <w:color w:val="auto"/>
          <w:szCs w:val="20"/>
          <w:lang w:eastAsia="zh-CN"/>
        </w:rPr>
        <w:t>ни</w:t>
      </w:r>
      <w:r w:rsidR="00666DBD">
        <w:rPr>
          <w:color w:val="auto"/>
          <w:szCs w:val="20"/>
          <w:lang w:eastAsia="zh-CN"/>
        </w:rPr>
        <w:t xml:space="preserve"> </w:t>
      </w:r>
      <w:r w:rsidR="00E17A06" w:rsidRPr="002727C0">
        <w:rPr>
          <w:color w:val="auto"/>
          <w:szCs w:val="20"/>
          <w:lang w:eastAsia="zh-CN"/>
        </w:rPr>
        <w:t xml:space="preserve"> </w:t>
      </w:r>
      <w:r w:rsidR="00666DBD">
        <w:rPr>
          <w:color w:val="auto"/>
          <w:szCs w:val="20"/>
          <w:lang w:eastAsia="zh-CN"/>
        </w:rPr>
        <w:t xml:space="preserve">так </w:t>
      </w:r>
      <w:r w:rsidR="00E17A06" w:rsidRPr="002727C0">
        <w:rPr>
          <w:color w:val="auto"/>
          <w:szCs w:val="20"/>
          <w:lang w:eastAsia="zh-CN"/>
        </w:rPr>
        <w:t xml:space="preserve">і за кордон. Так , </w:t>
      </w:r>
      <w:r w:rsidR="00E17A06">
        <w:rPr>
          <w:color w:val="auto"/>
          <w:szCs w:val="20"/>
          <w:lang w:eastAsia="zh-CN"/>
        </w:rPr>
        <w:t xml:space="preserve">Компанією </w:t>
      </w:r>
      <w:r w:rsidR="00E17A06" w:rsidRPr="002727C0">
        <w:rPr>
          <w:color w:val="auto"/>
          <w:szCs w:val="20"/>
          <w:lang w:eastAsia="zh-CN"/>
        </w:rPr>
        <w:t xml:space="preserve"> укладені контракти з покупцями з України, Азербайджану, Грузії,</w:t>
      </w:r>
      <w:r w:rsidR="00E17A06">
        <w:rPr>
          <w:color w:val="auto"/>
          <w:szCs w:val="20"/>
          <w:lang w:eastAsia="zh-CN"/>
        </w:rPr>
        <w:t xml:space="preserve"> </w:t>
      </w:r>
      <w:r w:rsidR="00E17A06" w:rsidRPr="002727C0">
        <w:rPr>
          <w:color w:val="auto"/>
          <w:szCs w:val="20"/>
          <w:lang w:eastAsia="zh-CN"/>
        </w:rPr>
        <w:t>Казахстану</w:t>
      </w:r>
      <w:r w:rsidR="00E17A06">
        <w:rPr>
          <w:color w:val="auto"/>
          <w:szCs w:val="20"/>
          <w:lang w:eastAsia="zh-CN"/>
        </w:rPr>
        <w:t>, Білорусії.</w:t>
      </w:r>
    </w:p>
    <w:p w14:paraId="61DEB590" w14:textId="45F891A2" w:rsidR="00E17A06" w:rsidRPr="00017684" w:rsidRDefault="00E17A06" w:rsidP="00E17A06">
      <w:pPr>
        <w:widowControl w:val="0"/>
        <w:shd w:val="clear" w:color="auto" w:fill="FFFFFF"/>
        <w:tabs>
          <w:tab w:val="left" w:pos="426"/>
        </w:tabs>
        <w:autoSpaceDE w:val="0"/>
        <w:autoSpaceDN w:val="0"/>
        <w:spacing w:before="240" w:after="240"/>
        <w:rPr>
          <w:color w:val="auto"/>
          <w:szCs w:val="20"/>
          <w:lang w:eastAsia="zh-CN"/>
        </w:rPr>
      </w:pPr>
      <w:r w:rsidRPr="005D79D9">
        <w:rPr>
          <w:color w:val="auto"/>
          <w:szCs w:val="20"/>
          <w:lang w:eastAsia="zh-CN"/>
        </w:rPr>
        <w:t xml:space="preserve">Про можливість </w:t>
      </w:r>
      <w:r>
        <w:rPr>
          <w:color w:val="auto"/>
          <w:szCs w:val="20"/>
          <w:lang w:eastAsia="zh-CN"/>
        </w:rPr>
        <w:t xml:space="preserve">безперервно </w:t>
      </w:r>
      <w:r w:rsidRPr="005D79D9">
        <w:rPr>
          <w:color w:val="auto"/>
          <w:szCs w:val="20"/>
          <w:lang w:eastAsia="zh-CN"/>
        </w:rPr>
        <w:t xml:space="preserve">виробляти продукцію свідчать стабільні запаси сировини та допоміжних матеріалів , а також укладені  численні  угоди з Постачальниками на майбутні поставки таких </w:t>
      </w:r>
      <w:r>
        <w:rPr>
          <w:color w:val="auto"/>
          <w:szCs w:val="20"/>
          <w:lang w:eastAsia="zh-CN"/>
        </w:rPr>
        <w:t>сировини, допоміжних матеріалів та інших ТМЦ</w:t>
      </w:r>
      <w:r w:rsidRPr="005D79D9">
        <w:rPr>
          <w:color w:val="auto"/>
          <w:szCs w:val="20"/>
          <w:lang w:eastAsia="zh-CN"/>
        </w:rPr>
        <w:t xml:space="preserve"> .</w:t>
      </w:r>
    </w:p>
    <w:p w14:paraId="6BF4D41F"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Стратегiєю  АТ «Галичфарм» передбачається  випуск якiсних лiкарських засобiв у вiдповiдностi вимогам GMP (Належної Виробничої Практики), з цiєю метою Товариство успішно  завершило запланованi завдання по інвестиціях  на 2020 рiк , а саме:</w:t>
      </w:r>
    </w:p>
    <w:p w14:paraId="2A7AAA4A"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 проведено часткову реконструкцiю діючого виробництва Дільниці розливу №2 та встановлено інспекційну  машину  Bosch для перевірки герметичності ампул.;</w:t>
      </w:r>
    </w:p>
    <w:p w14:paraId="3EE3AAA1"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 xml:space="preserve">- закуплено  інспекційну машину  для перегляду флаконів з інфузійними розчинами на Дільниці </w:t>
      </w:r>
      <w:r>
        <w:rPr>
          <w:color w:val="auto"/>
          <w:szCs w:val="20"/>
          <w:lang w:eastAsia="zh-CN"/>
        </w:rPr>
        <w:lastRenderedPageBreak/>
        <w:t>виробництва інфузійних лікарських засобів Ампульного цеху;</w:t>
      </w:r>
    </w:p>
    <w:p w14:paraId="3F15C2D9" w14:textId="77777777" w:rsidR="00773A86" w:rsidRDefault="00773A86" w:rsidP="00773A86">
      <w:pPr>
        <w:autoSpaceDE w:val="0"/>
        <w:autoSpaceDN w:val="0"/>
        <w:rPr>
          <w:color w:val="auto"/>
          <w:szCs w:val="20"/>
          <w:lang w:eastAsia="zh-CN"/>
        </w:rPr>
      </w:pPr>
      <w:r>
        <w:rPr>
          <w:color w:val="auto"/>
          <w:szCs w:val="20"/>
          <w:lang w:eastAsia="zh-CN"/>
        </w:rPr>
        <w:t>- модернізовано  трасформаторну  підстанцію  ТП 1052, включаючи заміну двох силових трансформаторів;</w:t>
      </w:r>
    </w:p>
    <w:p w14:paraId="40E0C8F0"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-встановленно обладнання для нанесення та верифікації маркування, забезпечення  виробництвом системою Track&amp;Trace та контролем першого відкриття з метою захисту лікарських засобів від фальсифікації;</w:t>
      </w:r>
    </w:p>
    <w:p w14:paraId="0A896B51"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 xml:space="preserve"> -модернізовано  систему  холодопостачання виробничих цехів виробнитва;</w:t>
      </w:r>
    </w:p>
    <w:p w14:paraId="54E6CAE1"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 xml:space="preserve"> -впровадженно системи SCADA з метою розгортання системи і розробки інфраструктури необхідної для її функціонування на  підприємстві</w:t>
      </w:r>
    </w:p>
    <w:p w14:paraId="35020C61" w14:textId="77777777" w:rsidR="00773A86" w:rsidRDefault="00773A86" w:rsidP="00773A86">
      <w:pPr>
        <w:widowControl w:val="0"/>
        <w:autoSpaceDE w:val="0"/>
        <w:autoSpaceDN w:val="0"/>
        <w:adjustRightInd w:val="0"/>
        <w:rPr>
          <w:color w:val="auto"/>
          <w:szCs w:val="20"/>
          <w:lang w:eastAsia="zh-CN"/>
        </w:rPr>
      </w:pPr>
    </w:p>
    <w:p w14:paraId="2AA1BBA2"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 xml:space="preserve"> В 2020 році зареєстровано 12 готових лікарських засобів, впроваджено у промислове виробництво 8 препаратів, у тому числі :</w:t>
      </w:r>
    </w:p>
    <w:p w14:paraId="19A7F9E4"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НІФУРОКСАЗИД) та   і 1 Активний фармацевтичний інгредієнт (субстанцію).</w:t>
      </w:r>
    </w:p>
    <w:p w14:paraId="5C2A509B"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Впроваджено у промислове виробництво 8 препаратів :</w:t>
      </w:r>
    </w:p>
    <w:p w14:paraId="5E632DA9"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РІНГЕРА РОЗЧИН, розчин для інфузій, по 200 мл (1 серія)</w:t>
      </w:r>
    </w:p>
    <w:p w14:paraId="1DDBA70E"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РІНГЕРА РОЗЧИН, розчин для інфузій, по 400 мл (1 серія)</w:t>
      </w:r>
    </w:p>
    <w:p w14:paraId="0EA484D4"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ОСМОЛАЙФ, розчин для інфузій, по 200 мл (1 серія)</w:t>
      </w:r>
    </w:p>
    <w:p w14:paraId="58886A18"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ОСМОЛАЙФ, розчин для інфузій, по 400 мл (1 серія)</w:t>
      </w:r>
    </w:p>
    <w:p w14:paraId="045AF396"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ЗАСІБ дезінфекційний для обробки поверхонь та приміщень по 1000 мл  - 1 серія</w:t>
      </w:r>
    </w:p>
    <w:p w14:paraId="303F854E"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ЗАСІБ дезінфекційний для обробки поверхонь та приміщень по 500 мл - 1 серія</w:t>
      </w:r>
    </w:p>
    <w:p w14:paraId="0FE9C393"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ЗАСІБ дезінфекційний для рук «Рукосепт» по 50 мл - 5 серій</w:t>
      </w:r>
    </w:p>
    <w:p w14:paraId="1600A7C3" w14:textId="77777777" w:rsidR="00773A86" w:rsidRDefault="00773A86" w:rsidP="00773A86">
      <w:pPr>
        <w:widowControl w:val="0"/>
        <w:autoSpaceDE w:val="0"/>
        <w:autoSpaceDN w:val="0"/>
        <w:adjustRightInd w:val="0"/>
        <w:rPr>
          <w:color w:val="auto"/>
          <w:szCs w:val="20"/>
          <w:lang w:eastAsia="zh-CN"/>
        </w:rPr>
      </w:pPr>
      <w:r>
        <w:rPr>
          <w:color w:val="auto"/>
          <w:szCs w:val="20"/>
          <w:lang w:eastAsia="zh-CN"/>
        </w:rPr>
        <w:t>СКІНГАРД, спрей для зовнішнього застосування, розчин по 200 мл у флаконі (Ветеринарний).</w:t>
      </w:r>
    </w:p>
    <w:p w14:paraId="323090A6" w14:textId="77777777" w:rsidR="00773A86" w:rsidRDefault="00773A86" w:rsidP="00773A86">
      <w:pPr>
        <w:widowControl w:val="0"/>
        <w:autoSpaceDE w:val="0"/>
        <w:autoSpaceDN w:val="0"/>
        <w:adjustRightInd w:val="0"/>
        <w:rPr>
          <w:color w:val="auto"/>
          <w:szCs w:val="20"/>
          <w:lang w:eastAsia="zh-CN"/>
        </w:rPr>
      </w:pPr>
    </w:p>
    <w:p w14:paraId="0C29FB9C" w14:textId="77777777" w:rsidR="00773A86" w:rsidRDefault="00773A86" w:rsidP="00773A86">
      <w:pPr>
        <w:widowControl w:val="0"/>
        <w:autoSpaceDE w:val="0"/>
        <w:autoSpaceDN w:val="0"/>
        <w:adjustRightInd w:val="0"/>
        <w:spacing w:after="120"/>
        <w:rPr>
          <w:color w:val="auto"/>
          <w:szCs w:val="20"/>
          <w:lang w:eastAsia="zh-CN"/>
        </w:rPr>
      </w:pPr>
      <w:r>
        <w:rPr>
          <w:color w:val="auto"/>
          <w:szCs w:val="20"/>
          <w:lang w:eastAsia="zh-CN"/>
        </w:rPr>
        <w:t>На 2021 рiк плануються наступні  інвестиції з метою  розвитку виробництва:</w:t>
      </w:r>
    </w:p>
    <w:p w14:paraId="41A65834" w14:textId="77777777" w:rsidR="00773A86" w:rsidRDefault="00773A86" w:rsidP="00773A86">
      <w:pPr>
        <w:spacing w:before="60"/>
        <w:jc w:val="left"/>
        <w:rPr>
          <w:color w:val="auto"/>
          <w:szCs w:val="20"/>
          <w:lang w:eastAsia="zh-CN"/>
        </w:rPr>
      </w:pPr>
      <w:r>
        <w:rPr>
          <w:color w:val="auto"/>
          <w:szCs w:val="20"/>
          <w:lang w:eastAsia="zh-CN"/>
        </w:rPr>
        <w:t>- розробка проектної документації  з метою  модернізації трансформаторної підстанції;</w:t>
      </w:r>
    </w:p>
    <w:p w14:paraId="25929623" w14:textId="77777777" w:rsidR="00773A86" w:rsidRDefault="00773A86" w:rsidP="00773A86">
      <w:pPr>
        <w:spacing w:before="60"/>
        <w:jc w:val="left"/>
        <w:rPr>
          <w:color w:val="auto"/>
          <w:szCs w:val="20"/>
          <w:lang w:eastAsia="zh-CN"/>
        </w:rPr>
      </w:pPr>
      <w:r>
        <w:rPr>
          <w:color w:val="auto"/>
          <w:szCs w:val="20"/>
          <w:lang w:eastAsia="zh-CN"/>
        </w:rPr>
        <w:t xml:space="preserve"> -завершення робіт  та  введення в експлуатацію інспектора для перевірки герметичності ампул на дільниці розливу №2 АЦ;</w:t>
      </w:r>
    </w:p>
    <w:p w14:paraId="03968EFD" w14:textId="77777777" w:rsidR="00773A86" w:rsidRDefault="00773A86" w:rsidP="00773A86">
      <w:pPr>
        <w:spacing w:before="60"/>
        <w:jc w:val="left"/>
        <w:rPr>
          <w:color w:val="auto"/>
          <w:szCs w:val="20"/>
          <w:lang w:eastAsia="zh-CN"/>
        </w:rPr>
      </w:pPr>
      <w:r>
        <w:rPr>
          <w:color w:val="auto"/>
          <w:szCs w:val="20"/>
          <w:lang w:eastAsia="zh-CN"/>
        </w:rPr>
        <w:t>- модернізація системи вентиляції дільниці розливу №2 АЦ;</w:t>
      </w:r>
    </w:p>
    <w:p w14:paraId="41F84452" w14:textId="77777777" w:rsidR="00773A86" w:rsidRDefault="00773A86" w:rsidP="00773A86">
      <w:pPr>
        <w:spacing w:before="60"/>
        <w:jc w:val="left"/>
        <w:rPr>
          <w:color w:val="auto"/>
          <w:szCs w:val="20"/>
          <w:lang w:eastAsia="zh-CN"/>
        </w:rPr>
      </w:pPr>
      <w:r>
        <w:rPr>
          <w:color w:val="auto"/>
          <w:szCs w:val="20"/>
          <w:lang w:eastAsia="zh-CN"/>
        </w:rPr>
        <w:t>- завершення робіт та введення в експлуатацію приміщення для зберігання взірців ВКЯ;</w:t>
      </w:r>
    </w:p>
    <w:p w14:paraId="6C61D168" w14:textId="77777777" w:rsidR="00773A86" w:rsidRDefault="00773A86" w:rsidP="00773A86">
      <w:pPr>
        <w:spacing w:before="60"/>
        <w:jc w:val="left"/>
        <w:rPr>
          <w:color w:val="auto"/>
          <w:szCs w:val="20"/>
          <w:lang w:eastAsia="zh-CN"/>
        </w:rPr>
      </w:pPr>
      <w:r>
        <w:rPr>
          <w:color w:val="auto"/>
          <w:szCs w:val="20"/>
          <w:lang w:eastAsia="zh-CN"/>
        </w:rPr>
        <w:t>- модернізацію схеми екстракції лікарських засобів;</w:t>
      </w:r>
    </w:p>
    <w:p w14:paraId="7FAB77E4" w14:textId="77777777" w:rsidR="00773A86" w:rsidRDefault="00773A86" w:rsidP="00773A86">
      <w:pPr>
        <w:spacing w:before="60"/>
        <w:jc w:val="left"/>
        <w:rPr>
          <w:color w:val="auto"/>
          <w:szCs w:val="20"/>
          <w:lang w:eastAsia="zh-CN"/>
        </w:rPr>
      </w:pPr>
      <w:r>
        <w:rPr>
          <w:color w:val="auto"/>
          <w:szCs w:val="20"/>
          <w:lang w:eastAsia="zh-CN"/>
        </w:rPr>
        <w:t>- придбання генератору азоту, який дозволить підвищити якість даного газу і відсутність перебоїв з поставкою, оскільки на даний момент використовується покупний.</w:t>
      </w:r>
    </w:p>
    <w:p w14:paraId="03702E03" w14:textId="77777777" w:rsidR="00E757CB" w:rsidRPr="00F81BCE" w:rsidRDefault="00E757CB" w:rsidP="00E757CB">
      <w:pPr>
        <w:pStyle w:val="1"/>
        <w:rPr>
          <w:color w:val="000000" w:themeColor="text1"/>
        </w:rPr>
      </w:pPr>
      <w:bookmarkStart w:id="13" w:name="_Toc68253957"/>
      <w:r>
        <w:rPr>
          <w:color w:val="000000" w:themeColor="text1"/>
        </w:rPr>
        <w:t>Прийняття стандартів та тлумачень у звітному періоді</w:t>
      </w:r>
      <w:bookmarkEnd w:id="0"/>
      <w:bookmarkEnd w:id="13"/>
    </w:p>
    <w:p w14:paraId="5BA3D258" w14:textId="01E5851D" w:rsidR="00A15051" w:rsidRPr="00A15051" w:rsidRDefault="00A15051" w:rsidP="00A15051">
      <w:pPr>
        <w:spacing w:after="120"/>
        <w:rPr>
          <w:b/>
          <w:color w:val="000000" w:themeColor="text1"/>
        </w:rPr>
      </w:pPr>
      <w:r w:rsidRPr="00A15051">
        <w:rPr>
          <w:b/>
          <w:color w:val="000000" w:themeColor="text1"/>
        </w:rPr>
        <w:t>Прийняття до застосування нових і переглянутих Міжнародних стандартів фінансової звітності</w:t>
      </w:r>
    </w:p>
    <w:p w14:paraId="276B1D2A" w14:textId="77777777" w:rsidR="009B0AA0" w:rsidRPr="00F157C1" w:rsidRDefault="009B0AA0" w:rsidP="009B0AA0">
      <w:pPr>
        <w:spacing w:before="120" w:after="120"/>
        <w:rPr>
          <w:color w:val="000000" w:themeColor="text1"/>
        </w:rPr>
      </w:pPr>
      <w:r w:rsidRPr="00F157C1">
        <w:rPr>
          <w:color w:val="000000" w:themeColor="text1"/>
        </w:rPr>
        <w:t>В поточному році Компанія застосовувала усі нові та переглянуті стандарти та інтерпретації, випущені Радою з Міжнародних стандартів бухгалтерського обліку та Комітетом з інтерпретації Міжнародних стандартів фінансової звітності, які є обов’язковими для застосування при складанні фінансової звітності за періоди, що починаються з 1 січня 2020 року та пізніше.</w:t>
      </w:r>
    </w:p>
    <w:p w14:paraId="534A9871" w14:textId="77777777" w:rsidR="009B0AA0" w:rsidRPr="00F10457" w:rsidRDefault="009B0AA0" w:rsidP="009B0AA0">
      <w:pPr>
        <w:spacing w:before="120" w:after="120"/>
        <w:rPr>
          <w:color w:val="auto"/>
          <w:szCs w:val="20"/>
        </w:rPr>
      </w:pPr>
      <w:r w:rsidRPr="00F10457">
        <w:rPr>
          <w:color w:val="auto"/>
          <w:szCs w:val="20"/>
        </w:rPr>
        <w:t>Зокрема, Компанія п</w:t>
      </w:r>
      <w:r>
        <w:rPr>
          <w:color w:val="auto"/>
          <w:szCs w:val="20"/>
        </w:rPr>
        <w:t>риймає наступні правки до МСФЗ</w:t>
      </w:r>
      <w:r w:rsidRPr="00F10457">
        <w:rPr>
          <w:color w:val="auto"/>
          <w:szCs w:val="20"/>
        </w:rPr>
        <w:t>, ефективна дата яких настає з 01.01.2020 року:</w:t>
      </w:r>
    </w:p>
    <w:p w14:paraId="6FC70C20" w14:textId="77777777" w:rsidR="009B0AA0" w:rsidRPr="00F10457" w:rsidRDefault="009B0AA0" w:rsidP="009B0AA0">
      <w:pPr>
        <w:pStyle w:val="af7"/>
        <w:numPr>
          <w:ilvl w:val="0"/>
          <w:numId w:val="42"/>
        </w:numPr>
        <w:ind w:left="0" w:firstLine="0"/>
      </w:pPr>
      <w:r w:rsidRPr="00F10457">
        <w:rPr>
          <w:i/>
        </w:rPr>
        <w:t>Концептуальна основа фінансової звітності</w:t>
      </w:r>
      <w:r>
        <w:rPr>
          <w:i/>
        </w:rPr>
        <w:t xml:space="preserve"> (КОФЗ)</w:t>
      </w:r>
      <w:r w:rsidRPr="00F10457">
        <w:t>. У новій редакції оновлено структуру документа, визначення активів і зобов'язань, а також додано нові положення з оцінки та припинення визнання активів і зобов'язань, подання і розкриття даних у фінансовій звітності за МСФЗ. Згідно нової редакції</w:t>
      </w:r>
      <w:r>
        <w:t>,</w:t>
      </w:r>
      <w:r w:rsidRPr="00F10457">
        <w:t xml:space="preserve"> інформація, представлена у фінансовій звітності, також повинна допомагати користувачам оцінити ефективність керівництва компанії в управлінні економічними ресурсами. Принцип обачності трактується через підтримку нейтральність представлених даних. Обачність визначається як прояв обережності при винесенні суджень в умовах невизначеності. Правдиве уявлення даних трактується як подання суті операцій, а не </w:t>
      </w:r>
      <w:r>
        <w:t>тільки їх юридичної форми. Нова</w:t>
      </w:r>
      <w:r w:rsidRPr="00F10457">
        <w:t xml:space="preserve"> редакція КОФЗ передбачає дві форми звітності: звіт про фінансовий стан і звіт про фінансові результати. Інші форми об'єднані під назвою «інші форми і розкриття», визначається, що дані фінансової звітності представляються за певний період і містять порівняльну інформацію, а також за певних обставин - прогнозні дані. </w:t>
      </w:r>
    </w:p>
    <w:p w14:paraId="4229291A" w14:textId="77777777" w:rsidR="009B0AA0" w:rsidRPr="00F10457" w:rsidRDefault="009B0AA0" w:rsidP="009B0AA0">
      <w:pPr>
        <w:pStyle w:val="af7"/>
      </w:pPr>
      <w:r w:rsidRPr="00F10457">
        <w:t xml:space="preserve">У новій редакції КОФЗ вводиться поняття «звітуюче підприємство», під яким мається на увазі сторона економічної діяльності, яка має чітко визначені межі та поняття зведеної звітності. </w:t>
      </w:r>
    </w:p>
    <w:p w14:paraId="401A9F7D" w14:textId="77777777" w:rsidR="009B0AA0" w:rsidRPr="00F10457" w:rsidRDefault="009B0AA0" w:rsidP="009B0AA0">
      <w:pPr>
        <w:pStyle w:val="af7"/>
      </w:pPr>
      <w:r w:rsidRPr="00F10457">
        <w:lastRenderedPageBreak/>
        <w:t xml:space="preserve">Вираз «економічний ресурс» замість терміну «ресурс» підкреслює, що Рада МСФЗ більше не  розглядає активи лише як фізичні об'єкти, а, скоріше, як набір прав. Визначення активів і зобов'язань не відносяться до «очікуваних» надходжень або відтоків. Замість цього визначення економічного ресурсу відноситься до потенціалу активу / зобов'язання виробляти / передавати економічні вигоди. </w:t>
      </w:r>
    </w:p>
    <w:p w14:paraId="58655E78" w14:textId="77777777" w:rsidR="009B0AA0" w:rsidRDefault="009B0AA0" w:rsidP="009B0AA0">
      <w:pPr>
        <w:pStyle w:val="af7"/>
      </w:pPr>
      <w:r w:rsidRPr="00F10457">
        <w:t>Нова глава КОФЗ присвячена опису різних методів оцінки (історична і поточна вартість (справедлива в</w:t>
      </w:r>
      <w:r>
        <w:t>артість, вартість використання)</w:t>
      </w:r>
      <w:r w:rsidRPr="00F10457">
        <w:t>, інформації, яку вони надають.</w:t>
      </w:r>
    </w:p>
    <w:p w14:paraId="43E5F630" w14:textId="77777777" w:rsidR="009B0AA0" w:rsidRPr="00F10457" w:rsidRDefault="009B0AA0" w:rsidP="009B0AA0">
      <w:pPr>
        <w:pStyle w:val="af7"/>
        <w:numPr>
          <w:ilvl w:val="0"/>
          <w:numId w:val="42"/>
        </w:numPr>
        <w:ind w:left="0" w:firstLine="0"/>
      </w:pPr>
      <w:r w:rsidRPr="00F10457">
        <w:rPr>
          <w:i/>
        </w:rPr>
        <w:t>МСФЗ 3 «Об’єднання бізнесу».</w:t>
      </w:r>
      <w:r w:rsidRPr="00F10457">
        <w:t xml:space="preserve"> Зміни запроваджують переглянуте визначення бізнесу. Бізнес складається із внесків і суттєвих процесів, які у сукупності формують здатність створювати віддачу. </w:t>
      </w:r>
    </w:p>
    <w:p w14:paraId="68226C0C" w14:textId="77777777" w:rsidR="009B0AA0" w:rsidRPr="00F10457" w:rsidRDefault="009B0AA0" w:rsidP="009B0AA0">
      <w:pPr>
        <w:pStyle w:val="af7"/>
      </w:pPr>
      <w:r w:rsidRPr="00F10457">
        <w:t xml:space="preserve">Нове керівництво визначає систему, яка дозволяє визначити наявність внеску і суттєвого процесу, у тому числі для компаній, які знаходяться на ранніх етапах розвитку і ще не отримали віддачу. У разі відсутності віддачі, для того щоб підприємство вважалося бізнесом, має бути наявним організований трудовий колектив. </w:t>
      </w:r>
    </w:p>
    <w:p w14:paraId="0B97F5AF" w14:textId="77777777" w:rsidR="009B0AA0" w:rsidRPr="00F10457" w:rsidRDefault="009B0AA0" w:rsidP="009B0AA0">
      <w:pPr>
        <w:pStyle w:val="af7"/>
      </w:pPr>
      <w:r w:rsidRPr="00F10457">
        <w:t xml:space="preserve">Визначення терміну «віддача» звужується, щоб зосередити увагу на товарах і послугах, які надаються клієнтам, на формуванні інвестиційного доходу та інших доходів, при цьому виключаються результати у формі скорочення витрат та інших економічних вигод. Крім того, наразі більше не потрібно оцінювати спроможність учасників ринку замінювати відсутні елементи чи інтегрувати придбану діяльність і активи. </w:t>
      </w:r>
    </w:p>
    <w:p w14:paraId="5FB8EE93" w14:textId="77777777" w:rsidR="009B0AA0" w:rsidRPr="00F10457" w:rsidRDefault="009B0AA0" w:rsidP="009B0AA0">
      <w:pPr>
        <w:pStyle w:val="af7"/>
      </w:pPr>
      <w:r w:rsidRPr="00F10457">
        <w:t>Організація може застосувати «тест на концентрацію». Придбані активи не вважатимуться бізнесом, якщо практично вся справедлива вартість придбаних валових активів сконцентрована в одному активі (або групі аналогічних активів).</w:t>
      </w:r>
    </w:p>
    <w:p w14:paraId="54A5597D" w14:textId="77777777" w:rsidR="009B0AA0" w:rsidRPr="00F10457" w:rsidRDefault="009B0AA0" w:rsidP="009B0AA0">
      <w:pPr>
        <w:pStyle w:val="af7"/>
        <w:numPr>
          <w:ilvl w:val="0"/>
          <w:numId w:val="42"/>
        </w:numPr>
        <w:ind w:left="0" w:firstLine="0"/>
      </w:pPr>
      <w:r w:rsidRPr="00F10457">
        <w:rPr>
          <w:i/>
        </w:rPr>
        <w:t>МСБО 1 «Подання фінансової звітності» та МСБО 8 «Облікова політика, зміни в облікових оцінках та помилки».</w:t>
      </w:r>
      <w:r w:rsidRPr="00F10457">
        <w:t xml:space="preserve"> Зміни уточнюють визначення суттєвості, пояснення до цього визначення та застосування цього поняття завдяки включенню рекомендацій щодо визначення, які раніше були наведені в інших стандартах МСФЗ. </w:t>
      </w:r>
    </w:p>
    <w:p w14:paraId="6666F350" w14:textId="77777777" w:rsidR="009B0AA0" w:rsidRPr="00F10457" w:rsidRDefault="009B0AA0" w:rsidP="009B0AA0">
      <w:pPr>
        <w:pStyle w:val="af7"/>
      </w:pPr>
      <w:r w:rsidRPr="00F10457">
        <w:t>Інформація є суттєвою, якщо обґрунтовано очікується, що її пропуск, спотворення або затуманення може вплинути на рішення основних користувачів фінансової звітності загального призначення, винесені на підставі такої фінансової звітності, що представляє фінансову інформацію про звітуючу компанію.</w:t>
      </w:r>
    </w:p>
    <w:p w14:paraId="16913B47" w14:textId="77777777" w:rsidR="009B0AA0" w:rsidRPr="00F10457" w:rsidRDefault="009B0AA0" w:rsidP="009B0AA0">
      <w:pPr>
        <w:pStyle w:val="af7"/>
      </w:pPr>
      <w:r w:rsidRPr="00F10457">
        <w:t>Зміни забезпечують послідовність використання визначення суттєвості в усіх стандартах МСФЗ.</w:t>
      </w:r>
    </w:p>
    <w:p w14:paraId="5C9BC5E5" w14:textId="77777777" w:rsidR="009B0AA0" w:rsidRPr="00F10457" w:rsidRDefault="009B0AA0" w:rsidP="009B0AA0">
      <w:pPr>
        <w:pStyle w:val="af7"/>
        <w:numPr>
          <w:ilvl w:val="0"/>
          <w:numId w:val="42"/>
        </w:numPr>
        <w:ind w:left="0" w:firstLine="0"/>
      </w:pPr>
      <w:r w:rsidRPr="009C2369">
        <w:rPr>
          <w:i/>
        </w:rPr>
        <w:t>МСБО 10 «Події після звітного періоду», МСБО 34 «Проміжна фінансова звітність», МСБО 37 «Забезпечення, непередбачені зобов'язання та непередбачені активи», Керівництво із застосування МСФЗ 2 «Виплати на основі акцій», Посібник з застосування МСФЗ 4 «Договори страхування», Основи для висновків до МСФЗ 17 «Страхові контракти».</w:t>
      </w:r>
      <w:r w:rsidRPr="00F10457">
        <w:t xml:space="preserve"> У всіх випадках словосполучення «економічні рішення» замінено словом «рішення», а поняття «користувачі» звужено до «основних користувачів».</w:t>
      </w:r>
    </w:p>
    <w:p w14:paraId="5F03B762" w14:textId="77777777" w:rsidR="009B0AA0" w:rsidRPr="00F10457" w:rsidRDefault="009B0AA0" w:rsidP="009B0AA0">
      <w:pPr>
        <w:pStyle w:val="af7"/>
        <w:numPr>
          <w:ilvl w:val="0"/>
          <w:numId w:val="42"/>
        </w:numPr>
        <w:ind w:left="0" w:firstLine="0"/>
      </w:pPr>
      <w:r w:rsidRPr="009C2369">
        <w:rPr>
          <w:i/>
        </w:rPr>
        <w:t>МСФЗ 9 «Фінансові інструменти», МСФЗ 7 «Фінансові інструменти: розкриття інформації», МСБО 39 «Фінансові інструменти: визнання та оцінка».</w:t>
      </w:r>
      <w:r w:rsidRPr="00F10457">
        <w:t xml:space="preserve"> Зміни стосуються процентних ставок (такі як LIBOR, EURIBOR і TIBOR), що використовуються в різних фінансових інструментах: від іпотечних кредитів до похідних інструментів.</w:t>
      </w:r>
    </w:p>
    <w:p w14:paraId="2C9F1899" w14:textId="77777777" w:rsidR="009B0AA0" w:rsidRPr="00F10457" w:rsidRDefault="009B0AA0" w:rsidP="009B0AA0">
      <w:pPr>
        <w:spacing w:before="120" w:after="120"/>
        <w:rPr>
          <w:color w:val="auto"/>
          <w:szCs w:val="20"/>
        </w:rPr>
      </w:pPr>
      <w:r w:rsidRPr="00F10457">
        <w:rPr>
          <w:color w:val="auto"/>
          <w:szCs w:val="20"/>
        </w:rPr>
        <w:t xml:space="preserve">Поправки: </w:t>
      </w:r>
    </w:p>
    <w:p w14:paraId="6E7F71EE" w14:textId="77777777" w:rsidR="009B0AA0" w:rsidRPr="00F10457" w:rsidRDefault="009B0AA0" w:rsidP="009B0AA0">
      <w:pPr>
        <w:spacing w:before="120" w:after="120"/>
        <w:rPr>
          <w:color w:val="auto"/>
          <w:szCs w:val="20"/>
        </w:rPr>
      </w:pPr>
      <w:r w:rsidRPr="00F10457">
        <w:rPr>
          <w:color w:val="auto"/>
          <w:szCs w:val="20"/>
        </w:rPr>
        <w:t>-</w:t>
      </w:r>
      <w:r w:rsidRPr="00F10457">
        <w:rPr>
          <w:color w:val="auto"/>
          <w:szCs w:val="20"/>
        </w:rPr>
        <w:tab/>
        <w:t>змінили вимоги до обліку хеджування: при обліку хеджування передбачається, що контрольний показник процентної ставки, на якому засновані грошові потоки, що хеджуються і грошові потоки від інструменту хеджування, не зміниться в результаті реформи;</w:t>
      </w:r>
    </w:p>
    <w:p w14:paraId="2A42BB30" w14:textId="77777777" w:rsidR="009B0AA0" w:rsidRPr="00F10457" w:rsidRDefault="009B0AA0" w:rsidP="009B0AA0">
      <w:pPr>
        <w:spacing w:before="120" w:after="120"/>
        <w:rPr>
          <w:color w:val="auto"/>
          <w:szCs w:val="20"/>
        </w:rPr>
      </w:pPr>
      <w:r w:rsidRPr="00F10457">
        <w:rPr>
          <w:color w:val="auto"/>
          <w:szCs w:val="20"/>
        </w:rPr>
        <w:t>-</w:t>
      </w:r>
      <w:r w:rsidRPr="00F10457">
        <w:rPr>
          <w:color w:val="auto"/>
          <w:szCs w:val="20"/>
        </w:rPr>
        <w:tab/>
        <w:t>обов'язкові для всіх відносин хеджування, на які безпосередньо впливає реформа внутрішньобанківської ставки рефінансування;</w:t>
      </w:r>
    </w:p>
    <w:p w14:paraId="5D13E080" w14:textId="77777777" w:rsidR="009B0AA0" w:rsidRPr="00F10457" w:rsidRDefault="009B0AA0" w:rsidP="009B0AA0">
      <w:pPr>
        <w:spacing w:before="120" w:after="120"/>
        <w:rPr>
          <w:color w:val="auto"/>
          <w:szCs w:val="20"/>
        </w:rPr>
      </w:pPr>
      <w:r w:rsidRPr="00F10457">
        <w:rPr>
          <w:color w:val="auto"/>
          <w:szCs w:val="20"/>
        </w:rPr>
        <w:t>-</w:t>
      </w:r>
      <w:r w:rsidRPr="00F10457">
        <w:rPr>
          <w:color w:val="auto"/>
          <w:szCs w:val="20"/>
        </w:rPr>
        <w:tab/>
        <w:t>не можна використовувати для усунення будь-яких інших наслідків реформи;</w:t>
      </w:r>
    </w:p>
    <w:p w14:paraId="5E9873F4" w14:textId="77777777" w:rsidR="009B0AA0" w:rsidRDefault="009B0AA0" w:rsidP="009B0AA0">
      <w:pPr>
        <w:spacing w:before="120" w:after="120"/>
        <w:rPr>
          <w:color w:val="auto"/>
          <w:szCs w:val="20"/>
        </w:rPr>
      </w:pPr>
      <w:r w:rsidRPr="00F10457">
        <w:rPr>
          <w:color w:val="auto"/>
          <w:szCs w:val="20"/>
        </w:rPr>
        <w:t>-</w:t>
      </w:r>
      <w:r w:rsidRPr="00F10457">
        <w:rPr>
          <w:color w:val="auto"/>
          <w:szCs w:val="20"/>
        </w:rPr>
        <w:tab/>
        <w:t>вимагають розкриття інформації про ступінь впливу поправок на відносини хеджування.</w:t>
      </w:r>
    </w:p>
    <w:p w14:paraId="19A52F3C" w14:textId="77777777" w:rsidR="009B0AA0" w:rsidRPr="000047D4" w:rsidRDefault="009B0AA0" w:rsidP="009B0AA0">
      <w:pPr>
        <w:pStyle w:val="-Mainstyle"/>
        <w:rPr>
          <w:szCs w:val="20"/>
        </w:rPr>
      </w:pPr>
      <w:r>
        <w:rPr>
          <w:szCs w:val="20"/>
          <w:lang w:eastAsia="ru-RU"/>
        </w:rPr>
        <w:t xml:space="preserve">Прийняття до застосування </w:t>
      </w:r>
      <w:r w:rsidRPr="000047D4">
        <w:rPr>
          <w:szCs w:val="20"/>
          <w:lang w:eastAsia="ru-RU"/>
        </w:rPr>
        <w:t>поправок та стандартів не завдало суттєвого впливу на фінансовий стан або показники діяльності Компанії, відображені у фінансовій звітності, і не призвели до будь-яких змін в обліковій</w:t>
      </w:r>
      <w:r w:rsidRPr="000047D4">
        <w:rPr>
          <w:szCs w:val="20"/>
        </w:rPr>
        <w:t xml:space="preserve"> політиці та сумах, відображених за поточний або попередні роки.</w:t>
      </w:r>
    </w:p>
    <w:p w14:paraId="7111D13C" w14:textId="77777777" w:rsidR="009B0AA0" w:rsidRPr="00086B87" w:rsidRDefault="009B0AA0" w:rsidP="009B0AA0">
      <w:pPr>
        <w:widowControl w:val="0"/>
        <w:spacing w:before="120" w:after="120"/>
        <w:rPr>
          <w:rFonts w:asciiTheme="minorHAnsi" w:hAnsiTheme="minorHAnsi" w:cstheme="minorHAnsi"/>
          <w:b/>
          <w:color w:val="000000" w:themeColor="text1"/>
          <w:szCs w:val="20"/>
        </w:rPr>
      </w:pPr>
      <w:r w:rsidRPr="000047D4">
        <w:rPr>
          <w:b/>
          <w:color w:val="000000" w:themeColor="text1"/>
          <w:szCs w:val="20"/>
        </w:rPr>
        <w:t xml:space="preserve">На дату фінансової звітності наступні стандарти, тлумачення та зміни до стандартів були </w:t>
      </w:r>
      <w:r w:rsidRPr="00086B87">
        <w:rPr>
          <w:b/>
          <w:color w:val="000000" w:themeColor="text1"/>
          <w:szCs w:val="20"/>
        </w:rPr>
        <w:lastRenderedPageBreak/>
        <w:t xml:space="preserve">випущені, але не </w:t>
      </w:r>
      <w:r w:rsidRPr="00086B87">
        <w:rPr>
          <w:rFonts w:asciiTheme="minorHAnsi" w:hAnsiTheme="minorHAnsi" w:cstheme="minorHAnsi"/>
          <w:b/>
          <w:color w:val="000000" w:themeColor="text1"/>
          <w:szCs w:val="20"/>
        </w:rPr>
        <w:t>вступили в силу:</w:t>
      </w:r>
    </w:p>
    <w:p w14:paraId="5394CCBA" w14:textId="77777777" w:rsidR="009B0AA0" w:rsidRPr="00086B87" w:rsidRDefault="009B0AA0" w:rsidP="009B0AA0">
      <w:pPr>
        <w:pStyle w:val="af7"/>
        <w:numPr>
          <w:ilvl w:val="0"/>
          <w:numId w:val="42"/>
        </w:numPr>
        <w:ind w:left="0" w:firstLine="0"/>
      </w:pPr>
      <w:r w:rsidRPr="00086B87">
        <w:rPr>
          <w:i/>
        </w:rPr>
        <w:t>МСФЗ 9</w:t>
      </w:r>
      <w:r w:rsidRPr="00086B87">
        <w:rPr>
          <w:i/>
          <w:color w:val="000000" w:themeColor="text1"/>
          <w:szCs w:val="20"/>
        </w:rPr>
        <w:t xml:space="preserve"> «Фінансові інструменти», МСБО 39 «Фінансові інструменти: Визнання та оцінка», МСФЗ 7 «Фінансові інструменти: розкриття інформації», МСФЗ 4 «Страхові контракти» та МСФЗ 16 «Оренда» </w:t>
      </w:r>
      <w:r w:rsidRPr="00086B87">
        <w:rPr>
          <w:color w:val="000000" w:themeColor="text1"/>
          <w:szCs w:val="20"/>
        </w:rPr>
        <w:t xml:space="preserve">(1 січня 2021 року). Поправки доповнюють випущені у 2019 році </w:t>
      </w:r>
      <w:r w:rsidRPr="00086B87">
        <w:t xml:space="preserve">зміни, що стосуються процентних ставок (такі як LIBOR, EURIBOR і TIBOR) </w:t>
      </w:r>
      <w:r w:rsidRPr="00086B87">
        <w:rPr>
          <w:color w:val="000000" w:themeColor="text1"/>
          <w:szCs w:val="20"/>
        </w:rPr>
        <w:t xml:space="preserve">та зосереджують увагу на наслідках реформи базового рівня процентних ставок на фінансовій звітності компанії, які виникають, коли, наприклад, базовий показник процентної ставки, який використовується для обчислення процентів за фінансовим активом замінено альтернативною базовою ставкою. Поправки до фази 2 розглядають питання, які можуть вплинути на фінансову звітність під час реформи базового рівня процентних ставок, включаючи наслідки змін договірних грошових потоків або відносин хеджування, що виникають внаслідок заміни базового рівня процентної ставки. з альтернативною базовою ставкою (проблеми із заміною). </w:t>
      </w:r>
    </w:p>
    <w:p w14:paraId="0E7EE4FF" w14:textId="77777777" w:rsidR="009B0AA0" w:rsidRPr="00086B87" w:rsidRDefault="009B0AA0" w:rsidP="009B0AA0">
      <w:pPr>
        <w:rPr>
          <w:color w:val="000000" w:themeColor="text1"/>
          <w:szCs w:val="20"/>
        </w:rPr>
      </w:pPr>
      <w:r w:rsidRPr="00086B87">
        <w:rPr>
          <w:color w:val="000000" w:themeColor="text1"/>
          <w:szCs w:val="20"/>
        </w:rPr>
        <w:t>На етапі 2 свого проекту Рада внесла зміни до вимог зазначених стандартів, що стосуються:</w:t>
      </w:r>
    </w:p>
    <w:p w14:paraId="3523D3EB" w14:textId="77777777" w:rsidR="009B0AA0" w:rsidRPr="00086B87" w:rsidRDefault="009B0AA0" w:rsidP="009B0AA0">
      <w:pPr>
        <w:pStyle w:val="af0"/>
        <w:numPr>
          <w:ilvl w:val="0"/>
          <w:numId w:val="43"/>
        </w:numPr>
        <w:rPr>
          <w:color w:val="000000" w:themeColor="text1"/>
          <w:szCs w:val="20"/>
        </w:rPr>
      </w:pPr>
      <w:r w:rsidRPr="00086B87">
        <w:rPr>
          <w:color w:val="000000" w:themeColor="text1"/>
          <w:szCs w:val="20"/>
        </w:rPr>
        <w:t>зміни договірних грошових потоків - компанії не доведеться припиняти визнання або коригувати балансову вартість фінансових інструментів для змін, що вимагаються реформою, а замість цього оновить ефективну процентну ставку, щоб відобразити зміну до альтернативної базової ставки;</w:t>
      </w:r>
    </w:p>
    <w:p w14:paraId="3A85AA93" w14:textId="77777777" w:rsidR="009B0AA0" w:rsidRPr="00086B87" w:rsidRDefault="009B0AA0" w:rsidP="009B0AA0">
      <w:pPr>
        <w:pStyle w:val="af0"/>
        <w:numPr>
          <w:ilvl w:val="0"/>
          <w:numId w:val="43"/>
        </w:numPr>
        <w:rPr>
          <w:color w:val="000000" w:themeColor="text1"/>
          <w:szCs w:val="20"/>
        </w:rPr>
      </w:pPr>
      <w:r w:rsidRPr="00086B87">
        <w:rPr>
          <w:color w:val="000000" w:themeColor="text1"/>
          <w:szCs w:val="20"/>
        </w:rPr>
        <w:t>облік хеджування - компанії не доведеться припиняти облік хеджування виключно тому, що вона вносить зміни, які вимагає реформа, якщо хеджування відповідає іншим критеріям обліку хеджування; і</w:t>
      </w:r>
    </w:p>
    <w:p w14:paraId="34ED98D4" w14:textId="77777777" w:rsidR="009B0AA0" w:rsidRPr="00086B87" w:rsidRDefault="009B0AA0" w:rsidP="009B0AA0">
      <w:pPr>
        <w:numPr>
          <w:ilvl w:val="0"/>
          <w:numId w:val="43"/>
        </w:numPr>
        <w:rPr>
          <w:color w:val="000000" w:themeColor="text1"/>
          <w:szCs w:val="20"/>
        </w:rPr>
      </w:pPr>
      <w:r w:rsidRPr="00086B87">
        <w:rPr>
          <w:color w:val="000000" w:themeColor="text1"/>
          <w:szCs w:val="20"/>
        </w:rPr>
        <w:t>розкриття інформації - компанія повинна буде розкривати інформацію про нові ризики, що виникають внаслідок реформи, та про те, як вона управляє переходом до альтернативних ставок.</w:t>
      </w:r>
    </w:p>
    <w:p w14:paraId="1A0CC52D" w14:textId="77777777" w:rsidR="009B0AA0" w:rsidRPr="00086B87" w:rsidRDefault="009B0AA0" w:rsidP="009B0AA0">
      <w:pPr>
        <w:suppressAutoHyphens/>
        <w:spacing w:before="120" w:after="120"/>
        <w:rPr>
          <w:color w:val="000000" w:themeColor="text1"/>
          <w:szCs w:val="20"/>
        </w:rPr>
      </w:pPr>
      <w:r w:rsidRPr="00086B87">
        <w:rPr>
          <w:color w:val="000000" w:themeColor="text1"/>
          <w:szCs w:val="20"/>
        </w:rPr>
        <w:t>Поправки до Фази 2 поширюються лише на зміни, які вимагає реформа базового рівня процентних ставок до фінансових інструментів та відносин хеджування.</w:t>
      </w:r>
    </w:p>
    <w:p w14:paraId="76F4FFC0" w14:textId="77777777" w:rsidR="009B0AA0" w:rsidRPr="00086B87" w:rsidRDefault="009B0AA0" w:rsidP="009B0AA0">
      <w:pPr>
        <w:pStyle w:val="af7"/>
        <w:numPr>
          <w:ilvl w:val="0"/>
          <w:numId w:val="42"/>
        </w:numPr>
        <w:ind w:left="0" w:firstLine="0"/>
        <w:rPr>
          <w:color w:val="000000" w:themeColor="text1"/>
          <w:szCs w:val="20"/>
        </w:rPr>
      </w:pPr>
      <w:r w:rsidRPr="00086B87">
        <w:rPr>
          <w:i/>
          <w:color w:val="000000" w:themeColor="text1"/>
          <w:szCs w:val="20"/>
        </w:rPr>
        <w:t>МСБО 16 «Основні засоби»</w:t>
      </w:r>
      <w:r w:rsidRPr="00086B87">
        <w:rPr>
          <w:color w:val="000000" w:themeColor="text1"/>
          <w:szCs w:val="20"/>
        </w:rPr>
        <w:t xml:space="preserve"> (01 січня 2022 року). Поправки забороняють компанії вираховувати з вартості основних засобів суми, отримані від реалізації вироблених предметів, коли компанія готує актив до його цільового використання. Натомість компанія визнає такі надходження від продажу та пов'язані з ними витрати у прибутку або збитку.</w:t>
      </w:r>
    </w:p>
    <w:p w14:paraId="30044FA1" w14:textId="77777777" w:rsidR="009B0AA0" w:rsidRPr="00086B87" w:rsidRDefault="009B0AA0" w:rsidP="009B0AA0">
      <w:pPr>
        <w:pStyle w:val="af7"/>
        <w:numPr>
          <w:ilvl w:val="0"/>
          <w:numId w:val="42"/>
        </w:numPr>
        <w:ind w:left="0" w:firstLine="0"/>
        <w:rPr>
          <w:color w:val="000000" w:themeColor="text1"/>
          <w:szCs w:val="20"/>
        </w:rPr>
      </w:pPr>
      <w:r w:rsidRPr="00086B87">
        <w:rPr>
          <w:i/>
          <w:color w:val="000000" w:themeColor="text1"/>
          <w:szCs w:val="20"/>
        </w:rPr>
        <w:t>МСБО 37 «Забезпечення, непередбачені зобов’язання та непередбачені активи»</w:t>
      </w:r>
      <w:r w:rsidRPr="00086B87">
        <w:rPr>
          <w:color w:val="000000" w:themeColor="text1"/>
          <w:szCs w:val="20"/>
        </w:rPr>
        <w:t xml:space="preserve"> (1 січня 2022 року). Поправки уточнюють, що «витрати на виконання договору» являють собою витрати, безпосередньо пов'язані з договором - тобто або додаткові витрати виконання договору (наприклад, прямі витрати на працю і матеріали), або розподіл інших витрат, які також безпосередньо пов'язані з договором (наприклад , розподіл амортизації об'єкта основних засобів, що використовується при виконанні договору).</w:t>
      </w:r>
    </w:p>
    <w:p w14:paraId="306F961A" w14:textId="77777777" w:rsidR="009B0AA0" w:rsidRPr="00086B87" w:rsidRDefault="009B0AA0" w:rsidP="009B0AA0">
      <w:pPr>
        <w:pStyle w:val="af7"/>
        <w:numPr>
          <w:ilvl w:val="0"/>
          <w:numId w:val="42"/>
        </w:numPr>
        <w:ind w:left="0" w:firstLine="0"/>
        <w:rPr>
          <w:color w:val="000000" w:themeColor="text1"/>
          <w:szCs w:val="20"/>
        </w:rPr>
      </w:pPr>
      <w:r w:rsidRPr="00086B87">
        <w:rPr>
          <w:i/>
          <w:color w:val="000000" w:themeColor="text1"/>
          <w:szCs w:val="20"/>
        </w:rPr>
        <w:t>МСФЗ 3 «Об’єднання бізнесу»</w:t>
      </w:r>
      <w:r w:rsidRPr="00086B87">
        <w:rPr>
          <w:color w:val="000000" w:themeColor="text1"/>
          <w:szCs w:val="20"/>
        </w:rPr>
        <w:t xml:space="preserve"> (1 січня 2022 року). Зміни стосуються актуалізації посилань в МСФЗ (IFRS) 3 на Концептуальні основи підготовки фінансової звітності, не змінюючи вимог до обліку для об'єднання бізнесів.</w:t>
      </w:r>
    </w:p>
    <w:p w14:paraId="43DE2947" w14:textId="77777777" w:rsidR="009B0AA0" w:rsidRPr="00086B87" w:rsidRDefault="009B0AA0" w:rsidP="009B0AA0">
      <w:pPr>
        <w:pStyle w:val="af7"/>
        <w:numPr>
          <w:ilvl w:val="0"/>
          <w:numId w:val="42"/>
        </w:numPr>
        <w:ind w:left="0" w:firstLine="0"/>
        <w:rPr>
          <w:color w:val="000000" w:themeColor="text1"/>
          <w:szCs w:val="20"/>
        </w:rPr>
      </w:pPr>
      <w:r w:rsidRPr="00086B87">
        <w:rPr>
          <w:i/>
          <w:color w:val="000000" w:themeColor="text1"/>
          <w:szCs w:val="20"/>
        </w:rPr>
        <w:t>МСБО 1 «Подання фінансової звітності»</w:t>
      </w:r>
      <w:r w:rsidRPr="00086B87">
        <w:rPr>
          <w:color w:val="000000" w:themeColor="text1"/>
          <w:szCs w:val="20"/>
        </w:rPr>
        <w:t xml:space="preserve"> (01 січня 2023 року). Поправки роз'яснюють критерій у МСБО 1 для класифікації зобов'язання як довгострокового: вимога до суб'єкта господарювання мати право відкласти погашення зобов'язання принаймні на 12 місяців після звітного періоду.</w:t>
      </w:r>
    </w:p>
    <w:p w14:paraId="3CE26DB9" w14:textId="77777777" w:rsidR="009B0AA0" w:rsidRPr="00086B87" w:rsidRDefault="009B0AA0" w:rsidP="009B0AA0">
      <w:pPr>
        <w:rPr>
          <w:color w:val="000000" w:themeColor="text1"/>
          <w:szCs w:val="20"/>
        </w:rPr>
      </w:pPr>
      <w:r w:rsidRPr="00086B87">
        <w:rPr>
          <w:color w:val="000000" w:themeColor="text1"/>
          <w:szCs w:val="20"/>
        </w:rPr>
        <w:t>Сутність поправок:</w:t>
      </w:r>
    </w:p>
    <w:p w14:paraId="55981F62" w14:textId="77777777" w:rsidR="009B0AA0" w:rsidRPr="00086B87" w:rsidRDefault="009B0AA0" w:rsidP="009B0AA0">
      <w:pPr>
        <w:pStyle w:val="af0"/>
        <w:numPr>
          <w:ilvl w:val="0"/>
          <w:numId w:val="42"/>
        </w:numPr>
        <w:rPr>
          <w:color w:val="000000" w:themeColor="text1"/>
          <w:szCs w:val="20"/>
        </w:rPr>
      </w:pPr>
      <w:r w:rsidRPr="00086B87">
        <w:rPr>
          <w:color w:val="000000" w:themeColor="text1"/>
          <w:szCs w:val="20"/>
        </w:rPr>
        <w:t>уточнено, що зобов'язання класифікується як довгострокове, якщо у організації є право відстрочити врегулювання зобов'язання щонайменше на 12 місяців, а право компанії на відстрочку розрахунків має існувати на кінець звітного періоду;</w:t>
      </w:r>
    </w:p>
    <w:p w14:paraId="47F8CFE3" w14:textId="77777777" w:rsidR="009B0AA0" w:rsidRPr="00086B87" w:rsidRDefault="009B0AA0" w:rsidP="009B0AA0">
      <w:pPr>
        <w:pStyle w:val="af0"/>
        <w:numPr>
          <w:ilvl w:val="0"/>
          <w:numId w:val="42"/>
        </w:numPr>
        <w:rPr>
          <w:color w:val="000000" w:themeColor="text1"/>
          <w:szCs w:val="20"/>
        </w:rPr>
      </w:pPr>
      <w:r w:rsidRPr="00086B87">
        <w:rPr>
          <w:color w:val="000000" w:themeColor="text1"/>
          <w:szCs w:val="20"/>
        </w:rPr>
        <w:t>класифікація залежить тільки він наявності такого права і не залежить від імовірності того, чи планує компанія скористатися цим правом - на класифікацію не впливають наміри чи очікування керівництва щодо того, чи компанія  реалізує своє право на відстрочку розрахунків;</w:t>
      </w:r>
    </w:p>
    <w:p w14:paraId="2F4C16C6" w14:textId="77777777" w:rsidR="009B0AA0" w:rsidRPr="00086B87" w:rsidRDefault="009B0AA0" w:rsidP="009B0AA0">
      <w:pPr>
        <w:pStyle w:val="af0"/>
        <w:numPr>
          <w:ilvl w:val="0"/>
          <w:numId w:val="42"/>
        </w:numPr>
        <w:ind w:left="714" w:hanging="357"/>
        <w:rPr>
          <w:color w:val="000000" w:themeColor="text1"/>
          <w:szCs w:val="20"/>
        </w:rPr>
      </w:pPr>
      <w:r w:rsidRPr="00086B87">
        <w:rPr>
          <w:color w:val="000000" w:themeColor="text1"/>
          <w:szCs w:val="20"/>
        </w:rPr>
        <w:t xml:space="preserve">роз’яснення впливу умов кредитування на класифікацію  - якщо право відстрочити врегулювання зобов'язання залежить від виконання організацією певних умов, то дане право існує на дату закінчення звітного періоду тільки в тому випадку, якщо організація виконала ці умови на дату закінчення звітного періоду. Організація повинна виконати ці умови на дату закінчення звітного періоду, навіть якщо перевірка їх виконання здійснюється кредитором пізніше; </w:t>
      </w:r>
    </w:p>
    <w:p w14:paraId="15128592" w14:textId="77777777" w:rsidR="009B0AA0" w:rsidRPr="00086B87" w:rsidRDefault="009B0AA0" w:rsidP="009B0AA0">
      <w:pPr>
        <w:pStyle w:val="af7"/>
        <w:numPr>
          <w:ilvl w:val="0"/>
          <w:numId w:val="42"/>
        </w:numPr>
        <w:spacing w:before="0" w:after="0"/>
        <w:ind w:left="714" w:hanging="357"/>
        <w:rPr>
          <w:color w:val="000000" w:themeColor="text1"/>
          <w:szCs w:val="20"/>
        </w:rPr>
      </w:pPr>
      <w:r w:rsidRPr="00086B87">
        <w:rPr>
          <w:color w:val="000000" w:themeColor="text1"/>
          <w:szCs w:val="20"/>
        </w:rPr>
        <w:t>роз’яснення вимог до класифікації зобов'язань, які компанія може або може погасити шляхом випуску власних інструментів власного капіталу</w:t>
      </w:r>
    </w:p>
    <w:p w14:paraId="029AEB23" w14:textId="77777777" w:rsidR="009B0AA0" w:rsidRPr="00086B87" w:rsidRDefault="009B0AA0" w:rsidP="009B0AA0">
      <w:pPr>
        <w:widowControl w:val="0"/>
        <w:spacing w:before="115"/>
        <w:rPr>
          <w:color w:val="000000" w:themeColor="text1"/>
          <w:szCs w:val="20"/>
        </w:rPr>
      </w:pPr>
      <w:r w:rsidRPr="00086B87">
        <w:rPr>
          <w:i/>
          <w:color w:val="000000" w:themeColor="text1"/>
          <w:szCs w:val="20"/>
        </w:rPr>
        <w:lastRenderedPageBreak/>
        <w:t>МСФЗ 17 «Страхові контракти»</w:t>
      </w:r>
      <w:r w:rsidRPr="00086B87">
        <w:rPr>
          <w:color w:val="000000" w:themeColor="text1"/>
          <w:szCs w:val="20"/>
        </w:rPr>
        <w:t xml:space="preserve"> (1 січня 2023 року). Зміни пов’язані із: виключення деяких видів договорів зі сфери застосування МСФЗ 17; спрощене подання активів і зобов'язань, пов'язаних з договорами страхування в звіті про фінансовий стан; вплив облікових оцінок, зроблених в попередніх проміжних фінансових звітностях; визнання і розподіл аквізиційних грошових потоків; зміна у визнанні відшкодування за договорами перестрахування в звіті про прибутки і збитки; розподіл маржі за передбачені договором страхування інвестиційні послуги (CSM); можливість зниження фінансового ризику для договорів вхідного перестрахування і непохідних фінансових інструментів; перенесення дати вступу в силу МСФЗ 17, а також продовження періоду звільнення від застосування МСФЗ (IFRS) 9 для страхових компаній до 1 січня 2023 року; спрощений облік зобов'язань по врегулюванню збитків за договорами, які виникли до дати переходу на МСФЗ 17; послаблення в застосуванні технік для зниження фінансового ризику; можливість визначення інвестиційного договору з умовами дискреційного участі в момент переходу на новий стандарт, ніж в момент виникнення договору.</w:t>
      </w:r>
    </w:p>
    <w:p w14:paraId="0C3B60EE" w14:textId="77777777" w:rsidR="009B0AA0" w:rsidRPr="00086B87" w:rsidRDefault="009B0AA0" w:rsidP="009B0AA0">
      <w:pPr>
        <w:pStyle w:val="af7"/>
        <w:numPr>
          <w:ilvl w:val="0"/>
          <w:numId w:val="42"/>
        </w:numPr>
        <w:ind w:left="0" w:firstLine="0"/>
        <w:rPr>
          <w:color w:val="000000" w:themeColor="text1"/>
          <w:szCs w:val="20"/>
        </w:rPr>
      </w:pPr>
      <w:r w:rsidRPr="00086B87">
        <w:rPr>
          <w:color w:val="000000" w:themeColor="text1"/>
          <w:szCs w:val="20"/>
        </w:rPr>
        <w:t>Додано виняток щодо зобов'язань і умовних зобов'язань. Цей виняток передбачає, що стосовно деяких видів зобов'язань і умовних зобов'язань організація, яка застосовує МСФЗ (IFRS) 3, повинна посилатися на МСФЗ (IAS) 37 «Забезпечення, непередбачені зобов'язання та непередбачені активи» або на Роз'яснення КТМФЗ (IFRIC) 21 «Збори», а не на Концептуальні засади фінансової звітності 2018 року.</w:t>
      </w:r>
    </w:p>
    <w:p w14:paraId="5D023B51" w14:textId="77777777" w:rsidR="009B0AA0" w:rsidRPr="00086B87" w:rsidRDefault="009B0AA0" w:rsidP="009B0AA0">
      <w:pPr>
        <w:pStyle w:val="af7"/>
        <w:numPr>
          <w:ilvl w:val="0"/>
          <w:numId w:val="42"/>
        </w:numPr>
        <w:ind w:left="0" w:firstLine="0"/>
        <w:rPr>
          <w:color w:val="000000" w:themeColor="text1"/>
          <w:szCs w:val="20"/>
        </w:rPr>
      </w:pPr>
      <w:r w:rsidRPr="00086B87">
        <w:rPr>
          <w:color w:val="000000" w:themeColor="text1"/>
          <w:szCs w:val="20"/>
        </w:rPr>
        <w:t xml:space="preserve">Щорічні поправки в МСФЗ: </w:t>
      </w:r>
    </w:p>
    <w:p w14:paraId="39AA6D61" w14:textId="77777777" w:rsidR="009B0AA0" w:rsidRPr="00086B87" w:rsidRDefault="009B0AA0" w:rsidP="009B0AA0">
      <w:pPr>
        <w:pStyle w:val="af7"/>
        <w:numPr>
          <w:ilvl w:val="0"/>
          <w:numId w:val="39"/>
        </w:numPr>
        <w:spacing w:before="0" w:after="0"/>
        <w:ind w:left="714" w:hanging="357"/>
        <w:rPr>
          <w:color w:val="000000" w:themeColor="text1"/>
          <w:szCs w:val="20"/>
        </w:rPr>
      </w:pPr>
      <w:r w:rsidRPr="00086B87">
        <w:rPr>
          <w:color w:val="000000" w:themeColor="text1"/>
          <w:szCs w:val="20"/>
        </w:rPr>
        <w:t>МСФЗ (IFRS) 9 щодо комісійної винагороди, що включається в «10-відсотковий» тест при припиненні визнання фінансових зобов'язань. Поправка уточнює характер такої комісійної винагороди, а саме включає тільки винагороду, сплачене між позикодавцем і позикоотримувачем, включаючи винагороду, сплачену або отриману від особи інших сторін.</w:t>
      </w:r>
    </w:p>
    <w:p w14:paraId="5A33006C" w14:textId="77777777" w:rsidR="009B0AA0" w:rsidRPr="00086B87" w:rsidRDefault="009B0AA0" w:rsidP="009B0AA0">
      <w:pPr>
        <w:pStyle w:val="af7"/>
        <w:numPr>
          <w:ilvl w:val="0"/>
          <w:numId w:val="39"/>
        </w:numPr>
        <w:spacing w:before="0" w:after="0"/>
        <w:ind w:left="714" w:hanging="357"/>
        <w:rPr>
          <w:color w:val="000000" w:themeColor="text1"/>
          <w:szCs w:val="20"/>
        </w:rPr>
      </w:pPr>
      <w:r w:rsidRPr="00086B87">
        <w:rPr>
          <w:color w:val="000000" w:themeColor="text1"/>
          <w:szCs w:val="20"/>
        </w:rPr>
        <w:t>МСФЗ (IFRS) 16 щодо стимулюючих платежів по оренді. Поправка уточнює ілюстративний приклад № 13 до МСФЗ (IFRS) 16 шляхом виключення прикладу урахування відшкодування, отриманого орендарем від орендодавця в якості компенсації за понесені витрати на поліпшення об'єкта оренди.</w:t>
      </w:r>
    </w:p>
    <w:p w14:paraId="71A4156F" w14:textId="77777777" w:rsidR="009B0AA0" w:rsidRPr="00086B87" w:rsidRDefault="009B0AA0" w:rsidP="009B0AA0">
      <w:pPr>
        <w:pStyle w:val="af7"/>
        <w:numPr>
          <w:ilvl w:val="0"/>
          <w:numId w:val="39"/>
        </w:numPr>
        <w:spacing w:before="0" w:after="0"/>
        <w:ind w:left="714" w:hanging="357"/>
        <w:rPr>
          <w:color w:val="000000" w:themeColor="text1"/>
          <w:szCs w:val="20"/>
        </w:rPr>
      </w:pPr>
      <w:r w:rsidRPr="00086B87">
        <w:rPr>
          <w:color w:val="000000" w:themeColor="text1"/>
          <w:szCs w:val="20"/>
        </w:rPr>
        <w:t>МСБО (IAS) 4 щодо ефективного оподаткування при визначенні справедливої вартості. Поправка виключає вимогу IAS 41:22, яка вказує, що потоки грошових коштів, пов'язані з оподаткуванням, не включаються до розрахунків справедливої вартості біологічних активів. Поправка призводить до відповідності IAS 41 і IFRS 13</w:t>
      </w:r>
    </w:p>
    <w:p w14:paraId="3ED73A3C" w14:textId="77777777" w:rsidR="009B0AA0" w:rsidRPr="006D3587" w:rsidRDefault="009B0AA0" w:rsidP="009B0AA0">
      <w:pPr>
        <w:widowControl w:val="0"/>
        <w:spacing w:before="115"/>
        <w:rPr>
          <w:rFonts w:asciiTheme="minorHAnsi" w:hAnsiTheme="minorHAnsi" w:cstheme="minorHAnsi"/>
          <w:color w:val="000000" w:themeColor="text1"/>
        </w:rPr>
      </w:pPr>
      <w:r w:rsidRPr="00086B87">
        <w:rPr>
          <w:rFonts w:asciiTheme="minorHAnsi" w:hAnsiTheme="minorHAnsi" w:cstheme="minorHAnsi"/>
          <w:color w:val="000000" w:themeColor="text1"/>
        </w:rPr>
        <w:t>Керівництво Компанії очікує, що набуття чинності переліченими стандартами</w:t>
      </w:r>
      <w:r w:rsidRPr="006D3587">
        <w:rPr>
          <w:rFonts w:asciiTheme="minorHAnsi" w:hAnsiTheme="minorHAnsi" w:cstheme="minorHAnsi"/>
          <w:color w:val="000000" w:themeColor="text1"/>
        </w:rPr>
        <w:t xml:space="preserve"> та тлумаченнями </w:t>
      </w:r>
      <w:r w:rsidRPr="006D3587">
        <w:rPr>
          <w:color w:val="000000" w:themeColor="text1"/>
        </w:rPr>
        <w:t>або інші</w:t>
      </w:r>
      <w:r w:rsidRPr="006D3587">
        <w:rPr>
          <w:color w:val="000000" w:themeColor="text1"/>
          <w:spacing w:val="26"/>
        </w:rPr>
        <w:t xml:space="preserve"> </w:t>
      </w:r>
      <w:r w:rsidRPr="006D3587">
        <w:rPr>
          <w:color w:val="000000" w:themeColor="text1"/>
        </w:rPr>
        <w:t>нові</w:t>
      </w:r>
      <w:r w:rsidRPr="006D3587">
        <w:rPr>
          <w:color w:val="000000" w:themeColor="text1"/>
          <w:spacing w:val="27"/>
        </w:rPr>
        <w:t xml:space="preserve"> </w:t>
      </w:r>
      <w:r w:rsidRPr="006D3587">
        <w:rPr>
          <w:color w:val="000000" w:themeColor="text1"/>
        </w:rPr>
        <w:t>або</w:t>
      </w:r>
      <w:r w:rsidRPr="006D3587">
        <w:rPr>
          <w:color w:val="000000" w:themeColor="text1"/>
          <w:spacing w:val="29"/>
        </w:rPr>
        <w:t xml:space="preserve"> </w:t>
      </w:r>
      <w:r w:rsidRPr="006D3587">
        <w:rPr>
          <w:color w:val="000000" w:themeColor="text1"/>
        </w:rPr>
        <w:t>переглянуті</w:t>
      </w:r>
      <w:r w:rsidRPr="006D3587">
        <w:rPr>
          <w:color w:val="000000" w:themeColor="text1"/>
          <w:spacing w:val="28"/>
        </w:rPr>
        <w:t xml:space="preserve"> </w:t>
      </w:r>
      <w:r w:rsidRPr="006D3587">
        <w:rPr>
          <w:color w:val="000000" w:themeColor="text1"/>
        </w:rPr>
        <w:t>стандарти</w:t>
      </w:r>
      <w:r w:rsidRPr="006D3587">
        <w:rPr>
          <w:color w:val="000000" w:themeColor="text1"/>
          <w:spacing w:val="29"/>
        </w:rPr>
        <w:t xml:space="preserve"> </w:t>
      </w:r>
      <w:r w:rsidRPr="006D3587">
        <w:rPr>
          <w:color w:val="000000" w:themeColor="text1"/>
        </w:rPr>
        <w:t>чи</w:t>
      </w:r>
      <w:r w:rsidRPr="006D3587">
        <w:rPr>
          <w:color w:val="000000" w:themeColor="text1"/>
          <w:spacing w:val="29"/>
        </w:rPr>
        <w:t xml:space="preserve"> </w:t>
      </w:r>
      <w:r w:rsidRPr="006D3587">
        <w:rPr>
          <w:color w:val="000000" w:themeColor="text1"/>
        </w:rPr>
        <w:t>інтерпретації,</w:t>
      </w:r>
      <w:r w:rsidRPr="006D3587">
        <w:rPr>
          <w:color w:val="000000" w:themeColor="text1"/>
          <w:spacing w:val="27"/>
        </w:rPr>
        <w:t xml:space="preserve"> </w:t>
      </w:r>
      <w:r w:rsidRPr="006D3587">
        <w:rPr>
          <w:color w:val="000000" w:themeColor="text1"/>
        </w:rPr>
        <w:t>які</w:t>
      </w:r>
      <w:r w:rsidRPr="006D3587">
        <w:rPr>
          <w:color w:val="000000" w:themeColor="text1"/>
          <w:spacing w:val="28"/>
        </w:rPr>
        <w:t xml:space="preserve"> </w:t>
      </w:r>
      <w:r w:rsidRPr="006D3587">
        <w:rPr>
          <w:color w:val="000000" w:themeColor="text1"/>
        </w:rPr>
        <w:t>вступлять</w:t>
      </w:r>
      <w:r w:rsidRPr="006D3587">
        <w:rPr>
          <w:color w:val="000000" w:themeColor="text1"/>
          <w:spacing w:val="34"/>
        </w:rPr>
        <w:t xml:space="preserve"> </w:t>
      </w:r>
      <w:r w:rsidRPr="006D3587">
        <w:rPr>
          <w:color w:val="000000" w:themeColor="text1"/>
        </w:rPr>
        <w:t>у</w:t>
      </w:r>
      <w:r w:rsidRPr="006D3587">
        <w:rPr>
          <w:color w:val="000000" w:themeColor="text1"/>
          <w:spacing w:val="24"/>
        </w:rPr>
        <w:t xml:space="preserve"> </w:t>
      </w:r>
      <w:r w:rsidRPr="006D3587">
        <w:rPr>
          <w:color w:val="000000" w:themeColor="text1"/>
          <w:spacing w:val="1"/>
        </w:rPr>
        <w:t>силу</w:t>
      </w:r>
      <w:r w:rsidRPr="006D3587">
        <w:rPr>
          <w:color w:val="000000" w:themeColor="text1"/>
          <w:spacing w:val="26"/>
        </w:rPr>
        <w:t xml:space="preserve"> </w:t>
      </w:r>
      <w:r w:rsidRPr="006D3587">
        <w:rPr>
          <w:color w:val="000000" w:themeColor="text1"/>
          <w:spacing w:val="-1"/>
        </w:rPr>
        <w:t>для</w:t>
      </w:r>
      <w:r w:rsidRPr="006D3587">
        <w:rPr>
          <w:color w:val="000000" w:themeColor="text1"/>
          <w:spacing w:val="30"/>
        </w:rPr>
        <w:t xml:space="preserve"> </w:t>
      </w:r>
      <w:r w:rsidRPr="006D3587">
        <w:rPr>
          <w:color w:val="000000" w:themeColor="text1"/>
        </w:rPr>
        <w:t>річних</w:t>
      </w:r>
      <w:r w:rsidRPr="006D3587">
        <w:rPr>
          <w:color w:val="000000" w:themeColor="text1"/>
          <w:spacing w:val="28"/>
        </w:rPr>
        <w:t xml:space="preserve"> </w:t>
      </w:r>
      <w:r w:rsidRPr="006D3587">
        <w:rPr>
          <w:color w:val="000000" w:themeColor="text1"/>
        </w:rPr>
        <w:t>періодів,</w:t>
      </w:r>
      <w:r w:rsidRPr="006D3587">
        <w:rPr>
          <w:color w:val="000000" w:themeColor="text1"/>
          <w:spacing w:val="22"/>
          <w:w w:val="99"/>
        </w:rPr>
        <w:t xml:space="preserve"> </w:t>
      </w:r>
      <w:r w:rsidRPr="006D3587">
        <w:rPr>
          <w:color w:val="000000" w:themeColor="text1"/>
          <w:spacing w:val="-1"/>
        </w:rPr>
        <w:t>починаючи</w:t>
      </w:r>
      <w:r w:rsidRPr="006D3587">
        <w:rPr>
          <w:color w:val="000000" w:themeColor="text1"/>
          <w:spacing w:val="29"/>
        </w:rPr>
        <w:t xml:space="preserve"> </w:t>
      </w:r>
      <w:r w:rsidRPr="006D3587">
        <w:rPr>
          <w:color w:val="000000" w:themeColor="text1"/>
        </w:rPr>
        <w:t>з</w:t>
      </w:r>
      <w:r w:rsidRPr="006D3587">
        <w:rPr>
          <w:color w:val="000000" w:themeColor="text1"/>
          <w:spacing w:val="28"/>
        </w:rPr>
        <w:t xml:space="preserve"> </w:t>
      </w:r>
      <w:r w:rsidRPr="006D3587">
        <w:rPr>
          <w:color w:val="000000" w:themeColor="text1"/>
        </w:rPr>
        <w:t>1</w:t>
      </w:r>
      <w:r w:rsidRPr="006D3587">
        <w:rPr>
          <w:color w:val="000000" w:themeColor="text1"/>
          <w:spacing w:val="28"/>
        </w:rPr>
        <w:t xml:space="preserve"> </w:t>
      </w:r>
      <w:r w:rsidRPr="006D3587">
        <w:rPr>
          <w:color w:val="000000" w:themeColor="text1"/>
        </w:rPr>
        <w:t>січня</w:t>
      </w:r>
      <w:r w:rsidRPr="006D3587">
        <w:rPr>
          <w:color w:val="000000" w:themeColor="text1"/>
          <w:spacing w:val="30"/>
        </w:rPr>
        <w:t xml:space="preserve"> </w:t>
      </w:r>
      <w:r w:rsidRPr="006D3587">
        <w:rPr>
          <w:color w:val="000000" w:themeColor="text1"/>
        </w:rPr>
        <w:t>2021</w:t>
      </w:r>
      <w:r w:rsidRPr="006D3587">
        <w:rPr>
          <w:color w:val="000000" w:themeColor="text1"/>
          <w:spacing w:val="28"/>
        </w:rPr>
        <w:t xml:space="preserve"> </w:t>
      </w:r>
      <w:r w:rsidRPr="006D3587">
        <w:rPr>
          <w:color w:val="000000" w:themeColor="text1"/>
        </w:rPr>
        <w:t>року</w:t>
      </w:r>
      <w:r w:rsidRPr="006D3587">
        <w:rPr>
          <w:color w:val="000000" w:themeColor="text1"/>
          <w:spacing w:val="27"/>
        </w:rPr>
        <w:t xml:space="preserve"> </w:t>
      </w:r>
      <w:r w:rsidRPr="006D3587">
        <w:rPr>
          <w:color w:val="000000" w:themeColor="text1"/>
        </w:rPr>
        <w:t>або</w:t>
      </w:r>
      <w:r w:rsidRPr="006D3587">
        <w:rPr>
          <w:color w:val="000000" w:themeColor="text1"/>
          <w:spacing w:val="28"/>
        </w:rPr>
        <w:t xml:space="preserve"> </w:t>
      </w:r>
      <w:r w:rsidRPr="006D3587">
        <w:rPr>
          <w:color w:val="000000" w:themeColor="text1"/>
          <w:szCs w:val="20"/>
        </w:rPr>
        <w:t>після цієї дати, ймовірно не матиме істотного впливу на фінансову звітність. На сьогодні Компанія не планує дострокове</w:t>
      </w:r>
      <w:r w:rsidRPr="006D3587">
        <w:rPr>
          <w:rFonts w:asciiTheme="minorHAnsi" w:hAnsiTheme="minorHAnsi" w:cstheme="minorHAnsi"/>
          <w:color w:val="000000" w:themeColor="text1"/>
        </w:rPr>
        <w:t xml:space="preserve"> застосування перелічених стандартів та тлумачень.</w:t>
      </w:r>
    </w:p>
    <w:p w14:paraId="61E1F3D3" w14:textId="60AD9594" w:rsidR="009B0AA0" w:rsidRPr="00F94BF7" w:rsidRDefault="009B0AA0" w:rsidP="009B0AA0">
      <w:pPr>
        <w:spacing w:before="120" w:after="120"/>
        <w:rPr>
          <w:rFonts w:asciiTheme="minorHAnsi" w:hAnsiTheme="minorHAnsi" w:cstheme="minorHAnsi"/>
          <w:color w:val="000000" w:themeColor="text1"/>
        </w:rPr>
      </w:pPr>
      <w:r w:rsidRPr="00427097">
        <w:rPr>
          <w:rFonts w:asciiTheme="minorHAnsi" w:hAnsiTheme="minorHAnsi" w:cstheme="minorHAnsi"/>
          <w:color w:val="000000" w:themeColor="text1"/>
        </w:rPr>
        <w:t xml:space="preserve">Фінансова звітність Компанії за рік, що закінчився 31 грудня 2020 року, була затверджена до </w:t>
      </w:r>
      <w:r w:rsidRPr="00D933F9">
        <w:rPr>
          <w:rFonts w:asciiTheme="minorHAnsi" w:hAnsiTheme="minorHAnsi" w:cstheme="minorHAnsi"/>
          <w:color w:val="000000" w:themeColor="text1"/>
        </w:rPr>
        <w:t xml:space="preserve">випуску </w:t>
      </w:r>
      <w:r w:rsidR="00427097" w:rsidRPr="00D933F9">
        <w:rPr>
          <w:rFonts w:asciiTheme="minorHAnsi" w:hAnsiTheme="minorHAnsi" w:cstheme="minorHAnsi"/>
          <w:color w:val="000000" w:themeColor="text1"/>
        </w:rPr>
        <w:t>19 березня 2021</w:t>
      </w:r>
      <w:r w:rsidRPr="00D933F9">
        <w:rPr>
          <w:rFonts w:asciiTheme="minorHAnsi" w:hAnsiTheme="minorHAnsi" w:cstheme="minorHAnsi"/>
          <w:color w:val="000000" w:themeColor="text1"/>
        </w:rPr>
        <w:t xml:space="preserve"> року.</w:t>
      </w:r>
    </w:p>
    <w:p w14:paraId="2A73ADF8" w14:textId="77777777" w:rsidR="000C2A4B" w:rsidRPr="007B2730" w:rsidRDefault="000C2A4B" w:rsidP="001E31A0">
      <w:pPr>
        <w:pStyle w:val="1"/>
        <w:rPr>
          <w:color w:val="000000" w:themeColor="text1"/>
        </w:rPr>
      </w:pPr>
      <w:bookmarkStart w:id="14" w:name="_Ref499650168"/>
      <w:bookmarkStart w:id="15" w:name="_Toc501620015"/>
      <w:bookmarkStart w:id="16" w:name="_Toc501626608"/>
      <w:bookmarkStart w:id="17" w:name="_Toc501627097"/>
      <w:bookmarkStart w:id="18" w:name="_Toc68253958"/>
      <w:bookmarkStart w:id="19" w:name="_Toc475007898"/>
      <w:bookmarkStart w:id="20" w:name="_Toc475522345"/>
      <w:bookmarkEnd w:id="1"/>
      <w:bookmarkEnd w:id="2"/>
      <w:r w:rsidRPr="007B2730">
        <w:rPr>
          <w:color w:val="000000" w:themeColor="text1"/>
        </w:rPr>
        <w:t>Основні принципи складання фінансової звітності та облікова політика</w:t>
      </w:r>
      <w:bookmarkEnd w:id="14"/>
      <w:bookmarkEnd w:id="15"/>
      <w:bookmarkEnd w:id="16"/>
      <w:bookmarkEnd w:id="17"/>
      <w:bookmarkEnd w:id="18"/>
    </w:p>
    <w:p w14:paraId="0C0D48E9" w14:textId="77777777" w:rsidR="00E757CB" w:rsidRPr="00CA5801" w:rsidRDefault="00E757CB" w:rsidP="00E757CB">
      <w:pPr>
        <w:pStyle w:val="2"/>
        <w:rPr>
          <w:rStyle w:val="52"/>
          <w:b/>
          <w:bCs w:val="0"/>
          <w:color w:val="000000" w:themeColor="text1"/>
          <w:sz w:val="20"/>
          <w:szCs w:val="36"/>
          <w:lang w:val="uk-UA"/>
        </w:rPr>
      </w:pPr>
      <w:bookmarkStart w:id="21" w:name="_Toc501620016"/>
      <w:bookmarkStart w:id="22" w:name="_Ref496540204"/>
      <w:bookmarkStart w:id="23" w:name="_Toc501620018"/>
      <w:r w:rsidRPr="00CA5801">
        <w:rPr>
          <w:rStyle w:val="52"/>
          <w:b/>
          <w:bCs w:val="0"/>
          <w:color w:val="000000" w:themeColor="text1"/>
          <w:sz w:val="20"/>
          <w:szCs w:val="36"/>
          <w:lang w:val="uk-UA"/>
        </w:rPr>
        <w:t>Заява про відповідність</w:t>
      </w:r>
      <w:bookmarkEnd w:id="21"/>
      <w:r>
        <w:rPr>
          <w:rStyle w:val="52"/>
          <w:b/>
          <w:bCs w:val="0"/>
          <w:color w:val="000000" w:themeColor="text1"/>
          <w:sz w:val="20"/>
          <w:szCs w:val="36"/>
          <w:lang w:val="uk-UA"/>
        </w:rPr>
        <w:t xml:space="preserve"> Міжнародним стандартам фінансової звітності</w:t>
      </w:r>
    </w:p>
    <w:p w14:paraId="74B2D7E0" w14:textId="77777777" w:rsidR="00E757CB" w:rsidRPr="00AE5DFD" w:rsidRDefault="00E757CB" w:rsidP="00E757CB">
      <w:pPr>
        <w:spacing w:before="120" w:after="120"/>
        <w:rPr>
          <w:color w:val="000000" w:themeColor="text1"/>
          <w:szCs w:val="20"/>
        </w:rPr>
      </w:pPr>
      <w:bookmarkStart w:id="24" w:name="_Toc501620017"/>
      <w:r w:rsidRPr="00AE5DFD">
        <w:rPr>
          <w:color w:val="000000" w:themeColor="text1"/>
          <w:szCs w:val="20"/>
        </w:rPr>
        <w:t>Річна фінансова звітність Компанії складена відповідно до Міжнародних стандартів фінансової звітності. Під терміном Міжнародні стандарти фінансової звітності надалі в широкому сенсі розуміються стандарти й тлумачення, які прийняті Радою з міжнародних стандартів бухгалтерського обліку (РМСБО/IASB):</w:t>
      </w:r>
    </w:p>
    <w:p w14:paraId="0C10A649" w14:textId="77777777" w:rsidR="00E757CB" w:rsidRPr="00AE5DFD" w:rsidRDefault="00E757CB" w:rsidP="00E757CB">
      <w:pPr>
        <w:pStyle w:val="af0"/>
        <w:numPr>
          <w:ilvl w:val="0"/>
          <w:numId w:val="37"/>
        </w:numPr>
        <w:spacing w:before="120" w:after="120"/>
        <w:rPr>
          <w:color w:val="000000" w:themeColor="text1"/>
          <w:szCs w:val="20"/>
        </w:rPr>
      </w:pPr>
      <w:r w:rsidRPr="00AE5DFD">
        <w:rPr>
          <w:color w:val="000000" w:themeColor="text1"/>
          <w:szCs w:val="20"/>
        </w:rPr>
        <w:t>Міжнародні стандарти фінансової звітності (МСФЗ/IFRS);</w:t>
      </w:r>
    </w:p>
    <w:p w14:paraId="75C8065F" w14:textId="77777777" w:rsidR="00E757CB" w:rsidRPr="00AE5DFD" w:rsidRDefault="00E757CB" w:rsidP="00E757CB">
      <w:pPr>
        <w:pStyle w:val="af0"/>
        <w:numPr>
          <w:ilvl w:val="0"/>
          <w:numId w:val="37"/>
        </w:numPr>
        <w:spacing w:before="120" w:after="120"/>
        <w:rPr>
          <w:color w:val="000000" w:themeColor="text1"/>
          <w:szCs w:val="20"/>
        </w:rPr>
      </w:pPr>
      <w:r w:rsidRPr="00AE5DFD">
        <w:rPr>
          <w:color w:val="000000" w:themeColor="text1"/>
          <w:szCs w:val="20"/>
        </w:rPr>
        <w:t>Міжнародні стандарти бухгалтерського обліку (МСБО/IAS);</w:t>
      </w:r>
    </w:p>
    <w:p w14:paraId="15A97223" w14:textId="77777777" w:rsidR="00E757CB" w:rsidRPr="00AE5DFD" w:rsidRDefault="00E757CB" w:rsidP="00E757CB">
      <w:pPr>
        <w:pStyle w:val="af0"/>
        <w:numPr>
          <w:ilvl w:val="0"/>
          <w:numId w:val="37"/>
        </w:numPr>
        <w:spacing w:before="120" w:after="120"/>
        <w:rPr>
          <w:color w:val="000000" w:themeColor="text1"/>
          <w:szCs w:val="20"/>
        </w:rPr>
      </w:pPr>
      <w:r w:rsidRPr="00AE5DFD">
        <w:rPr>
          <w:color w:val="000000" w:themeColor="text1"/>
          <w:szCs w:val="20"/>
        </w:rPr>
        <w:t>Тлумачення, розроблені Комітетом з Міжнародних стандартів фінансової звітності (ТКМСФЗ/ IFRIC) або Постійним комітетом з тлумачень (ПКТ/SIC).</w:t>
      </w:r>
    </w:p>
    <w:p w14:paraId="208C5380" w14:textId="77777777" w:rsidR="00E757CB" w:rsidRPr="00AE5DFD" w:rsidRDefault="00E757CB" w:rsidP="00E757CB">
      <w:pPr>
        <w:spacing w:before="120" w:after="120"/>
        <w:rPr>
          <w:color w:val="000000" w:themeColor="text1"/>
          <w:szCs w:val="20"/>
        </w:rPr>
      </w:pPr>
      <w:r w:rsidRPr="00AE5DFD">
        <w:rPr>
          <w:color w:val="000000" w:themeColor="text1"/>
          <w:szCs w:val="20"/>
        </w:rPr>
        <w:t>Компанія складає фінансову звітність відповідно до МСФЗ з моменту першого прийняття їх за концептуальну основу підгот</w:t>
      </w:r>
      <w:r>
        <w:rPr>
          <w:color w:val="000000" w:themeColor="text1"/>
          <w:szCs w:val="20"/>
        </w:rPr>
        <w:t>овки цієї фінансової звітності</w:t>
      </w:r>
      <w:r w:rsidRPr="00AE5DFD">
        <w:rPr>
          <w:color w:val="000000" w:themeColor="text1"/>
          <w:szCs w:val="20"/>
        </w:rPr>
        <w:t xml:space="preserve">. </w:t>
      </w:r>
    </w:p>
    <w:p w14:paraId="426C2479" w14:textId="77777777" w:rsidR="00E757CB" w:rsidRPr="00AE5DFD" w:rsidRDefault="00E757CB" w:rsidP="00E757CB">
      <w:pPr>
        <w:rPr>
          <w:color w:val="000000" w:themeColor="text1"/>
          <w:szCs w:val="20"/>
        </w:rPr>
      </w:pPr>
      <w:r w:rsidRPr="00AE5DFD">
        <w:rPr>
          <w:color w:val="000000" w:themeColor="text1"/>
          <w:szCs w:val="20"/>
        </w:rPr>
        <w:t>Річна фінансова звітність була підготовлена на основі принципу історичної вартості та представлена у тисячах гривень</w:t>
      </w:r>
    </w:p>
    <w:bookmarkEnd w:id="24"/>
    <w:p w14:paraId="7988521A" w14:textId="77777777" w:rsidR="000C2A4B" w:rsidRPr="007B2730" w:rsidRDefault="000C2A4B" w:rsidP="001E31A0">
      <w:pPr>
        <w:pStyle w:val="2"/>
        <w:rPr>
          <w:color w:val="000000" w:themeColor="text1"/>
        </w:rPr>
      </w:pPr>
      <w:r w:rsidRPr="007B2730">
        <w:rPr>
          <w:color w:val="000000" w:themeColor="text1"/>
        </w:rPr>
        <w:lastRenderedPageBreak/>
        <w:t>Інвестиції в асоційовані та спільні підприємства</w:t>
      </w:r>
      <w:bookmarkEnd w:id="22"/>
      <w:bookmarkEnd w:id="23"/>
    </w:p>
    <w:p w14:paraId="7DC298B7"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Підприємство вважається асоційованим, якщо Компанія має суттєвий вплив на його фінансову і операційну діяльність. Суттєвий вплив передбачає право брати участь в ухваленні рішень, що стосуються фінансової і операційної діяльності підприємства, але не передбачає контролю або спільного контролю над такою діяльністю.</w:t>
      </w:r>
    </w:p>
    <w:p w14:paraId="2D69ACA0" w14:textId="0CC6AFCE" w:rsidR="000C2A4B" w:rsidRPr="007B2730" w:rsidRDefault="000C2A4B" w:rsidP="000C2A4B">
      <w:pPr>
        <w:widowControl w:val="0"/>
        <w:spacing w:before="120" w:after="120"/>
        <w:rPr>
          <w:iCs/>
          <w:color w:val="000000" w:themeColor="text1"/>
          <w:szCs w:val="20"/>
        </w:rPr>
      </w:pPr>
      <w:r w:rsidRPr="007B2730">
        <w:rPr>
          <w:iCs/>
          <w:color w:val="000000" w:themeColor="text1"/>
          <w:szCs w:val="20"/>
        </w:rPr>
        <w:t xml:space="preserve">Спільне підприємство – це спільна діяльність, яка передбачає наявність у сторін, що мають спільний контроль над діяльністю, прав на чисті активи такої діяльності. Такі сторони називаються учасниками спільного підприємства. </w:t>
      </w:r>
      <w:r w:rsidRPr="007B2730">
        <w:rPr>
          <w:color w:val="000000" w:themeColor="text1"/>
          <w:szCs w:val="20"/>
        </w:rPr>
        <w:t>Спільний контроль</w:t>
      </w:r>
      <w:r w:rsidR="00CA5801" w:rsidRPr="007B2730">
        <w:rPr>
          <w:iCs/>
          <w:color w:val="000000" w:themeColor="text1"/>
          <w:szCs w:val="20"/>
        </w:rPr>
        <w:t xml:space="preserve"> – </w:t>
      </w:r>
      <w:r w:rsidRPr="007B2730">
        <w:rPr>
          <w:iCs/>
          <w:color w:val="000000" w:themeColor="text1"/>
          <w:szCs w:val="20"/>
        </w:rPr>
        <w:t>це погоджений контрактом розподіл контролю за економічною діяльністю, який існує, лише якщо стратегічні фінансові та операційні рішення, пов'язані з діяльністю, потребують одностайної згоди сторін угоди про розподіл контролю (контролюючих учасників).</w:t>
      </w:r>
    </w:p>
    <w:p w14:paraId="4A10519D"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Результати діяльності, а також активи та зобов'язання асоційованого або спільного підприємства включені в дану звітність за методом участі в капіталі, за винятком інвестицій, призначених для продажу, що обліковуються згідно з МСФЗ (IFRS) 5. За методом участі в капіталі інвестиції в асоційоване і спільне підприємство спочатку визнаються в звіті про фінансовий стан за вартістю придбання і згодом коригуються з урахуванням частки Компанії в прибутку або збитках або іншому сукупному доході асоційованого або спільного підприємства. Якщо частка Компанії у збитках асоційованого або спільного підприємства перевищує частку Компанії в цьому підприємстві (включаючи будь-які частки, що по суті складають частину чистих інвестицій Компанії в асоційоване або спільне підприємство), Компанія припиняє визнавати свою частку в подальших збитках. Додаткові збитки визнаються, тільки якщо у Компанії є юридичне або конструктивне зобов'язання відшкодувати перевищення частки у збитках, або якщо Компанія здійснювала платежі від імені асоційованого або спільного підприємства.</w:t>
      </w:r>
      <w:bookmarkStart w:id="25" w:name="bookmark23"/>
    </w:p>
    <w:p w14:paraId="6F17C58E"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 xml:space="preserve">Інвестиції в асоційоване або спільне підприємство відображаються за методом участі в капіталі з моменту, коли об'єкт інвестицій стає асоційованим або спільним підприємством. Позитивна різниця між вартістю придбання інвестицій і часткою </w:t>
      </w:r>
      <w:r w:rsidRPr="007B2730">
        <w:rPr>
          <w:iCs/>
          <w:color w:val="000000" w:themeColor="text1"/>
          <w:szCs w:val="20"/>
        </w:rPr>
        <w:t xml:space="preserve">Компанії </w:t>
      </w:r>
      <w:r w:rsidRPr="007B2730">
        <w:rPr>
          <w:color w:val="000000" w:themeColor="text1"/>
          <w:szCs w:val="20"/>
        </w:rPr>
        <w:t xml:space="preserve">в справедливій вартості ідентифікованих активів і зобов'язань на дату придбання утворює гудвіл, що включається до балансової вартості таких інвестицій. Позитивна різниця між часткою </w:t>
      </w:r>
      <w:r w:rsidRPr="007B2730">
        <w:rPr>
          <w:iCs/>
          <w:color w:val="000000" w:themeColor="text1"/>
          <w:szCs w:val="20"/>
        </w:rPr>
        <w:t xml:space="preserve">Компанії </w:t>
      </w:r>
      <w:r w:rsidRPr="007B2730">
        <w:rPr>
          <w:color w:val="000000" w:themeColor="text1"/>
          <w:szCs w:val="20"/>
        </w:rPr>
        <w:t>в справедливій вартості ідентифікованих активів і зобов'язань та вартістю придбання інвестицій після повторної оцінки відображається у прибутку чи збитках.</w:t>
      </w:r>
    </w:p>
    <w:p w14:paraId="7E02CA66"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 xml:space="preserve">Необхідність визнання зменшення корисності інвестицій </w:t>
      </w:r>
      <w:r w:rsidRPr="007B2730">
        <w:rPr>
          <w:iCs/>
          <w:color w:val="000000" w:themeColor="text1"/>
          <w:szCs w:val="20"/>
        </w:rPr>
        <w:t xml:space="preserve">Компанії </w:t>
      </w:r>
      <w:r w:rsidRPr="007B2730">
        <w:rPr>
          <w:color w:val="000000" w:themeColor="text1"/>
          <w:szCs w:val="20"/>
        </w:rPr>
        <w:t>в асоційоване або спільне підприємство визначається згідно з МСБО (IAS) 39. При необхідності балансова вартість інвестицій (у тому числі гудвіл) тестується на знецінення згідно з МСБО (IAS) 36 «Зменшення корисності активів» шляхом зіставлення очікуваного відшкодування (більшої з вартостей: вартості при використанні та справедливої вартості за вирахуванням витрат на продаж) з балансовою вартістю. Визнаний збиток від зменшення корисності зменшує балансову вартість інвестицій. Відновлення збитку від зменшення корисності визнається відповідно до МСБО (IAS) 36, якщо сума очікуваної компенсації інвестицій згодом збільшується.</w:t>
      </w:r>
    </w:p>
    <w:p w14:paraId="4C1BA7F6"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Компанія припиняє застосовувати метод участі в капіталі, коли підприємство перестає бути асоційованим або спільним, або коли інвестиції призначаються для продажу. Якщо Компанія знижує частку участі в колишньому асоційованому або спільному підприємстві, і частка, що залишилася, стає фінансовим активом, Компанія відображає фінансовий актив за справедливою вартістю на цю дату. Різниця між балансовою вартістю та справедливою вартістю частки, що залишилася у володінні в колишньому асоційованому або спільному підприємстві, на дату припинення обліку із застосуванням методу участі в капіталі включається в розрахунок прибутку або збитків від часткового продажу. Крім того, Компанія відображає всі суми, раніше визнані в іншому сукупному доході щодо асоційованого або спільного підприємства так, ніби відповідні активи або зобов'язання продавалися самим асоційованим або спільним підприємством. Таким чином, якщо при продажу активів і зобов'язань усі суми, що раніше відображалися асоційованим або спільним підприємством в іншому сукупному доході, перекласифіковуються в прибутки або збитки, то Компанія при припиненні застосування методу участі в капіталі також перекласифіковує статті іншого сукупного доходу в прибутки або збитки.</w:t>
      </w:r>
    </w:p>
    <w:p w14:paraId="5C075A6A"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Компанія продовжує застосовувати метод участі в капіталі, якщо асоційоване підприємство стає спільним підприємством або навпаки. У таких випадках переоцінка за справедливою вартістю не проводиться.</w:t>
      </w:r>
    </w:p>
    <w:p w14:paraId="21246A61"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 xml:space="preserve">Якщо Компанія зменшує частку участі в асоційованому або спільному підприємстві, але продовжує застосовувати метод участі в капіталі, Компанія перекласифіковує в прибуток або збитки пропорційну частину сум, раніше визнаних в іншому сукупному доході, якщо такі рекласифікації були б необхідні при </w:t>
      </w:r>
      <w:r w:rsidRPr="007B2730">
        <w:rPr>
          <w:color w:val="000000" w:themeColor="text1"/>
          <w:szCs w:val="20"/>
        </w:rPr>
        <w:lastRenderedPageBreak/>
        <w:t>продажу відповідних активів або зобов'язань.</w:t>
      </w:r>
    </w:p>
    <w:p w14:paraId="0D11C4DD"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Прибутки або збитки з операцій з асоційованим і спільним підприємством визнаються у звітності Компанії тільки в межах частки в асоційоване або спільне підприємство, що не належить Компанії.</w:t>
      </w:r>
    </w:p>
    <w:p w14:paraId="7DB9F98B" w14:textId="77777777" w:rsidR="000C2A4B" w:rsidRPr="007B2730" w:rsidRDefault="000C2A4B" w:rsidP="001E31A0">
      <w:pPr>
        <w:pStyle w:val="2"/>
        <w:rPr>
          <w:color w:val="000000" w:themeColor="text1"/>
        </w:rPr>
      </w:pPr>
      <w:bookmarkStart w:id="26" w:name="_Toc501620019"/>
      <w:bookmarkEnd w:id="25"/>
      <w:r w:rsidRPr="007B2730">
        <w:rPr>
          <w:color w:val="000000" w:themeColor="text1"/>
        </w:rPr>
        <w:t>Участь у спільній операції</w:t>
      </w:r>
      <w:bookmarkEnd w:id="26"/>
    </w:p>
    <w:p w14:paraId="62A75097"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 xml:space="preserve">Спільна операція – це спільна діяльність, яка передбачає наявність у сторін, що мають спільний контроль над діяльністю, прав на активи та обов'язків щодо зобов'язань, пов'язаних з діяльністю. Такі сторони називаються спільними операторами. </w:t>
      </w:r>
    </w:p>
    <w:p w14:paraId="47CB9DE0"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Якщо підприємство, бере участь в спільній операції, Компанія визнає:</w:t>
      </w:r>
    </w:p>
    <w:p w14:paraId="69747F3A" w14:textId="77777777" w:rsidR="000C2A4B" w:rsidRPr="007B2730" w:rsidRDefault="000C2A4B" w:rsidP="003A7D0C">
      <w:pPr>
        <w:pStyle w:val="af0"/>
        <w:widowControl w:val="0"/>
        <w:numPr>
          <w:ilvl w:val="0"/>
          <w:numId w:val="6"/>
        </w:numPr>
        <w:spacing w:before="120" w:after="120"/>
        <w:contextualSpacing w:val="0"/>
        <w:rPr>
          <w:iCs/>
          <w:color w:val="000000" w:themeColor="text1"/>
          <w:szCs w:val="20"/>
        </w:rPr>
      </w:pPr>
      <w:r w:rsidRPr="007B2730">
        <w:rPr>
          <w:iCs/>
          <w:color w:val="000000" w:themeColor="text1"/>
          <w:szCs w:val="20"/>
        </w:rPr>
        <w:t>свої активи, включаючи частку спільних активів;</w:t>
      </w:r>
    </w:p>
    <w:p w14:paraId="3541C0A4" w14:textId="77777777" w:rsidR="000C2A4B" w:rsidRPr="007B2730" w:rsidRDefault="000C2A4B" w:rsidP="003A7D0C">
      <w:pPr>
        <w:pStyle w:val="af0"/>
        <w:widowControl w:val="0"/>
        <w:numPr>
          <w:ilvl w:val="0"/>
          <w:numId w:val="6"/>
        </w:numPr>
        <w:spacing w:before="120" w:after="120"/>
        <w:contextualSpacing w:val="0"/>
        <w:rPr>
          <w:iCs/>
          <w:color w:val="000000" w:themeColor="text1"/>
          <w:szCs w:val="20"/>
        </w:rPr>
      </w:pPr>
      <w:r w:rsidRPr="007B2730">
        <w:rPr>
          <w:iCs/>
          <w:color w:val="000000" w:themeColor="text1"/>
          <w:szCs w:val="20"/>
        </w:rPr>
        <w:t>свої зобов'язання, включаючи частку спільно понесених зобов'язань;</w:t>
      </w:r>
    </w:p>
    <w:p w14:paraId="368834FC" w14:textId="77777777" w:rsidR="000C2A4B" w:rsidRPr="007B2730" w:rsidRDefault="000C2A4B" w:rsidP="003A7D0C">
      <w:pPr>
        <w:pStyle w:val="af0"/>
        <w:widowControl w:val="0"/>
        <w:numPr>
          <w:ilvl w:val="0"/>
          <w:numId w:val="6"/>
        </w:numPr>
        <w:spacing w:before="120" w:after="120"/>
        <w:contextualSpacing w:val="0"/>
        <w:rPr>
          <w:iCs/>
          <w:color w:val="000000" w:themeColor="text1"/>
          <w:szCs w:val="20"/>
        </w:rPr>
      </w:pPr>
      <w:r w:rsidRPr="007B2730">
        <w:rPr>
          <w:iCs/>
          <w:color w:val="000000" w:themeColor="text1"/>
          <w:szCs w:val="20"/>
        </w:rPr>
        <w:t>дохід від продажу своєї частки продукції спільної операції, включаючи частку в загальному доході від продажу продукції спільної операції; і</w:t>
      </w:r>
    </w:p>
    <w:p w14:paraId="2265867C" w14:textId="77777777" w:rsidR="000C2A4B" w:rsidRPr="007B2730" w:rsidRDefault="000C2A4B" w:rsidP="003A7D0C">
      <w:pPr>
        <w:pStyle w:val="af0"/>
        <w:widowControl w:val="0"/>
        <w:numPr>
          <w:ilvl w:val="0"/>
          <w:numId w:val="6"/>
        </w:numPr>
        <w:spacing w:before="120" w:after="120"/>
        <w:contextualSpacing w:val="0"/>
        <w:rPr>
          <w:iCs/>
          <w:color w:val="000000" w:themeColor="text1"/>
          <w:szCs w:val="20"/>
        </w:rPr>
      </w:pPr>
      <w:r w:rsidRPr="007B2730">
        <w:rPr>
          <w:iCs/>
          <w:color w:val="000000" w:themeColor="text1"/>
          <w:szCs w:val="20"/>
        </w:rPr>
        <w:t>свої витрати, включаючи частку спільно понесених витрат.</w:t>
      </w:r>
    </w:p>
    <w:p w14:paraId="2BE4FBD8"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Компанія визнає свою частку активів, зобов'язань, доходів і витрат у спільній операції відповідно до МСФЗ, які застосовуються до таких активів, зобов'язань, доходів або витрат.</w:t>
      </w:r>
    </w:p>
    <w:p w14:paraId="0A9E5B2C"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 xml:space="preserve">При продажу або внесенні додаткових активів Компанії в спільну операцію вважається, що </w:t>
      </w:r>
      <w:r w:rsidRPr="007B2730">
        <w:rPr>
          <w:color w:val="000000" w:themeColor="text1"/>
        </w:rPr>
        <w:t xml:space="preserve">Компанія </w:t>
      </w:r>
      <w:r w:rsidRPr="007B2730">
        <w:rPr>
          <w:iCs/>
          <w:color w:val="000000" w:themeColor="text1"/>
          <w:szCs w:val="20"/>
        </w:rPr>
        <w:t xml:space="preserve">проводить операцію з рештою учасників спільної операції. При цьому прибутки та збитки від такої угоди відображаються в звітності </w:t>
      </w:r>
      <w:r w:rsidRPr="007B2730">
        <w:rPr>
          <w:color w:val="000000" w:themeColor="text1"/>
        </w:rPr>
        <w:t xml:space="preserve">Компанії </w:t>
      </w:r>
      <w:r w:rsidRPr="007B2730">
        <w:rPr>
          <w:iCs/>
          <w:color w:val="000000" w:themeColor="text1"/>
          <w:szCs w:val="20"/>
        </w:rPr>
        <w:t>тільки в межах частки інших учасників спільної операції.</w:t>
      </w:r>
    </w:p>
    <w:p w14:paraId="781C6852" w14:textId="77777777" w:rsidR="000C2A4B" w:rsidRPr="007B2730" w:rsidRDefault="000C2A4B" w:rsidP="000C2A4B">
      <w:pPr>
        <w:widowControl w:val="0"/>
        <w:spacing w:before="120" w:after="120"/>
        <w:rPr>
          <w:iCs/>
          <w:color w:val="000000" w:themeColor="text1"/>
          <w:szCs w:val="20"/>
        </w:rPr>
      </w:pPr>
      <w:r w:rsidRPr="007B2730">
        <w:rPr>
          <w:iCs/>
          <w:color w:val="000000" w:themeColor="text1"/>
          <w:szCs w:val="20"/>
        </w:rPr>
        <w:t>При придбанні Компанією активів спільної операції Компанія не відображає свою частку в прибутку або збитках від цієї угоди до перепродажу активів третім сторонам.</w:t>
      </w:r>
    </w:p>
    <w:p w14:paraId="74DAFA9C" w14:textId="77777777" w:rsidR="000C2A4B" w:rsidRPr="007B2730" w:rsidRDefault="000C2A4B" w:rsidP="001E31A0">
      <w:pPr>
        <w:pStyle w:val="2"/>
        <w:rPr>
          <w:color w:val="000000" w:themeColor="text1"/>
        </w:rPr>
      </w:pPr>
      <w:bookmarkStart w:id="27" w:name="_Toc501620020"/>
      <w:r w:rsidRPr="007B2730">
        <w:rPr>
          <w:color w:val="000000" w:themeColor="text1"/>
        </w:rPr>
        <w:t>Непоточні активи, призначені для продажу</w:t>
      </w:r>
      <w:bookmarkEnd w:id="27"/>
    </w:p>
    <w:p w14:paraId="0FCD3760" w14:textId="77777777" w:rsidR="000C2A4B" w:rsidRPr="007B2730" w:rsidRDefault="000C2A4B" w:rsidP="000C2A4B">
      <w:pPr>
        <w:widowControl w:val="0"/>
        <w:spacing w:before="120" w:after="120"/>
        <w:ind w:right="-1"/>
        <w:rPr>
          <w:color w:val="000000" w:themeColor="text1"/>
          <w:szCs w:val="20"/>
        </w:rPr>
      </w:pPr>
      <w:r w:rsidRPr="007B2730">
        <w:rPr>
          <w:color w:val="000000" w:themeColor="text1"/>
          <w:szCs w:val="20"/>
        </w:rPr>
        <w:t>Непоточні активи та групи вибуття активів класифікуються як призначені для продажу, якщо їх балансова вартість буде відшкодована в основному не в процесі використання у виробничій діяльності, а при продажу. Ця умова вважається виконаною, якщо актив (група вибуття активів) може бути проданий в поточному стані відповідно до прийнятих умов продажу таких активів (групи), і ймовірність продажу висока. Керівництво повинно завершити продаж активу протягом року з моменту його класифікації як утримуваного для продажу.</w:t>
      </w:r>
    </w:p>
    <w:p w14:paraId="4ED2055D" w14:textId="77777777" w:rsidR="000C2A4B" w:rsidRPr="007B2730" w:rsidRDefault="000C2A4B" w:rsidP="000C2A4B">
      <w:pPr>
        <w:widowControl w:val="0"/>
        <w:spacing w:before="120" w:after="120"/>
        <w:ind w:right="-1"/>
        <w:rPr>
          <w:color w:val="000000" w:themeColor="text1"/>
          <w:szCs w:val="20"/>
        </w:rPr>
      </w:pPr>
      <w:r w:rsidRPr="007B2730">
        <w:rPr>
          <w:color w:val="000000" w:themeColor="text1"/>
          <w:szCs w:val="20"/>
        </w:rPr>
        <w:t>Якщо Компанія прийняла план продажу контрольного пакета дочірнього підприємства, всі активи і зобов'язання дочірнього підприємства рекласифікуються як призначені для продажу при виконанні вищезазначених критеріїв, незалежно від збереження Компанію неконтрольованих часток у колишньому дочірньому підприємстві після продажу.</w:t>
      </w:r>
    </w:p>
    <w:p w14:paraId="6A24900F"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Якщо Компанія дотримується плану продажу, який передбачає продаж інвестицій або частини інвестицій в асоційоване або спільне підприємство, інвестиції, що продаються, їх частина, класифікуються як утримувані для продажу у разі відповідності вищезазначеним критеріям, і Компанія припиняє застосовувати метод участі в капіталі за частиною інвестицій, класифікованих як утримувані для продажу. Частина інвестицій в асоційоване або спільне підприємство, що залишилася, не перекласифіковується як призначена для продажу і продовжує відображатися за методом участі в капіталі. Компанія припиняє застосовувати метод участі в капіталі в момент, коли вибуття призводить до втрати Компанією значного впливу на асоційоване або спільне підприємство.</w:t>
      </w:r>
    </w:p>
    <w:p w14:paraId="17B77009"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Після вибуття Компанія відображає частку участі, що залишилася, у колишньому асоційованому або спільному підприємстві відповідно до МСБО (IAS) 39. Якщо ж підприємство продовжує залишатися асоційованим або спільним підприємством, Компанія продовжує застосовувати метод участі в капіталі.</w:t>
      </w:r>
    </w:p>
    <w:p w14:paraId="7351C1EA"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Непоточні активи (групи вибуття активів), класифіковані як утримувані для продажу, оцінюються за найменшою з: а) залишкової вартості на момент рекласифікації, і б) справедливої вартості за вирахуванням витрат на продаж.</w:t>
      </w:r>
      <w:bookmarkStart w:id="28" w:name="bookmark26"/>
    </w:p>
    <w:p w14:paraId="22891423" w14:textId="77777777" w:rsidR="000C2A4B" w:rsidRPr="007B2730" w:rsidRDefault="000C2A4B" w:rsidP="001E31A0">
      <w:pPr>
        <w:pStyle w:val="2"/>
        <w:rPr>
          <w:color w:val="000000" w:themeColor="text1"/>
        </w:rPr>
      </w:pPr>
      <w:bookmarkStart w:id="29" w:name="_Toc501620021"/>
      <w:bookmarkEnd w:id="28"/>
      <w:r w:rsidRPr="007B2730">
        <w:rPr>
          <w:color w:val="000000" w:themeColor="text1"/>
        </w:rPr>
        <w:lastRenderedPageBreak/>
        <w:t>Визнання доходу</w:t>
      </w:r>
      <w:bookmarkEnd w:id="29"/>
    </w:p>
    <w:p w14:paraId="7FD64C5E" w14:textId="77777777" w:rsidR="000C2A4B" w:rsidRPr="007B2730" w:rsidRDefault="000C2A4B" w:rsidP="000C2A4B">
      <w:pPr>
        <w:rPr>
          <w:b/>
          <w:color w:val="000000" w:themeColor="text1"/>
          <w:szCs w:val="20"/>
        </w:rPr>
      </w:pPr>
      <w:r w:rsidRPr="007B2730">
        <w:rPr>
          <w:color w:val="000000" w:themeColor="text1"/>
          <w:szCs w:val="20"/>
        </w:rPr>
        <w:t>Доходи від реалізації оцінюються за справедливою вартістю отриманої компенсації або тієї, яка має бути отримана. Дохід від реалізації зменшується на суму передбачуваних повернень товару покупцями, знижок та інших аналогічних відрахувань.</w:t>
      </w:r>
    </w:p>
    <w:p w14:paraId="5B3CA131" w14:textId="77777777" w:rsidR="000C2A4B" w:rsidRPr="007B2730" w:rsidRDefault="000C2A4B" w:rsidP="001E31A0">
      <w:pPr>
        <w:pStyle w:val="3"/>
        <w:rPr>
          <w:color w:val="000000" w:themeColor="text1"/>
        </w:rPr>
      </w:pPr>
      <w:bookmarkStart w:id="30" w:name="_Toc501620022"/>
      <w:r w:rsidRPr="007B2730">
        <w:rPr>
          <w:color w:val="000000" w:themeColor="text1"/>
        </w:rPr>
        <w:t>Реалізація товарів</w:t>
      </w:r>
      <w:bookmarkEnd w:id="30"/>
    </w:p>
    <w:p w14:paraId="4000B622"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Доходи від реалізації товарів визнаються за фактом поставки товару і переходу права власності. При цьому на момент визнання необхідне виконання таких умов:</w:t>
      </w:r>
    </w:p>
    <w:p w14:paraId="76580E50" w14:textId="77777777" w:rsidR="000C2A4B" w:rsidRPr="007B2730" w:rsidRDefault="000C2A4B" w:rsidP="003A7D0C">
      <w:pPr>
        <w:pStyle w:val="af0"/>
        <w:widowControl w:val="0"/>
        <w:numPr>
          <w:ilvl w:val="0"/>
          <w:numId w:val="13"/>
        </w:numPr>
        <w:spacing w:before="120" w:after="120"/>
        <w:ind w:left="0" w:firstLine="0"/>
        <w:contextualSpacing w:val="0"/>
        <w:rPr>
          <w:color w:val="000000" w:themeColor="text1"/>
          <w:szCs w:val="20"/>
        </w:rPr>
      </w:pPr>
      <w:r w:rsidRPr="007B2730">
        <w:rPr>
          <w:color w:val="000000" w:themeColor="text1"/>
          <w:szCs w:val="20"/>
        </w:rPr>
        <w:t>Компанія передала покупцеві суттєві ризики і вигоди, пов'язані з володінням товаром;</w:t>
      </w:r>
    </w:p>
    <w:p w14:paraId="2B2A1CB5" w14:textId="77777777" w:rsidR="000C2A4B" w:rsidRPr="007B2730" w:rsidRDefault="000C2A4B" w:rsidP="003A7D0C">
      <w:pPr>
        <w:pStyle w:val="af0"/>
        <w:widowControl w:val="0"/>
        <w:numPr>
          <w:ilvl w:val="0"/>
          <w:numId w:val="13"/>
        </w:numPr>
        <w:spacing w:before="120" w:after="120"/>
        <w:ind w:left="0" w:firstLine="0"/>
        <w:contextualSpacing w:val="0"/>
        <w:rPr>
          <w:color w:val="000000" w:themeColor="text1"/>
          <w:szCs w:val="20"/>
        </w:rPr>
      </w:pPr>
      <w:r w:rsidRPr="007B2730">
        <w:rPr>
          <w:color w:val="000000" w:themeColor="text1"/>
          <w:szCs w:val="20"/>
        </w:rPr>
        <w:t>Компанія не зберігає за собою ні управлінських функцій у тій мірі, яка зазвичай асоціюється з володінням товарами, ні фактичного контролю над проданими товарами;</w:t>
      </w:r>
    </w:p>
    <w:p w14:paraId="099C1929" w14:textId="77777777" w:rsidR="000C2A4B" w:rsidRPr="007B2730" w:rsidRDefault="000C2A4B" w:rsidP="003A7D0C">
      <w:pPr>
        <w:pStyle w:val="af0"/>
        <w:widowControl w:val="0"/>
        <w:numPr>
          <w:ilvl w:val="0"/>
          <w:numId w:val="13"/>
        </w:numPr>
        <w:spacing w:before="120" w:after="120"/>
        <w:ind w:left="0" w:firstLine="0"/>
        <w:contextualSpacing w:val="0"/>
        <w:rPr>
          <w:color w:val="000000" w:themeColor="text1"/>
          <w:szCs w:val="20"/>
        </w:rPr>
      </w:pPr>
      <w:r w:rsidRPr="007B2730">
        <w:rPr>
          <w:color w:val="000000" w:themeColor="text1"/>
          <w:szCs w:val="20"/>
        </w:rPr>
        <w:t>сума доходу від продажу може бути достовірно оцінена;</w:t>
      </w:r>
    </w:p>
    <w:p w14:paraId="447DDF5C" w14:textId="2A8A77E1" w:rsidR="000C2A4B" w:rsidRPr="007B2730" w:rsidRDefault="000C2A4B" w:rsidP="003A7D0C">
      <w:pPr>
        <w:pStyle w:val="af0"/>
        <w:widowControl w:val="0"/>
        <w:numPr>
          <w:ilvl w:val="0"/>
          <w:numId w:val="13"/>
        </w:numPr>
        <w:spacing w:before="120" w:after="120"/>
        <w:ind w:left="0" w:firstLine="0"/>
        <w:contextualSpacing w:val="0"/>
        <w:rPr>
          <w:color w:val="000000" w:themeColor="text1"/>
          <w:szCs w:val="20"/>
        </w:rPr>
      </w:pPr>
      <w:r w:rsidRPr="007B2730">
        <w:rPr>
          <w:color w:val="000000" w:themeColor="text1"/>
          <w:szCs w:val="20"/>
        </w:rPr>
        <w:t>імовірність отримання економічних виг</w:t>
      </w:r>
      <w:r w:rsidR="00A86372">
        <w:rPr>
          <w:color w:val="000000" w:themeColor="text1"/>
          <w:szCs w:val="20"/>
        </w:rPr>
        <w:t>і</w:t>
      </w:r>
      <w:r w:rsidRPr="007B2730">
        <w:rPr>
          <w:color w:val="000000" w:themeColor="text1"/>
          <w:szCs w:val="20"/>
        </w:rPr>
        <w:t>д, пов'язаних з цією операцією, висока;</w:t>
      </w:r>
    </w:p>
    <w:p w14:paraId="2BEE9F5E" w14:textId="77777777" w:rsidR="000C2A4B" w:rsidRPr="007B2730" w:rsidRDefault="000C2A4B" w:rsidP="003A7D0C">
      <w:pPr>
        <w:pStyle w:val="af0"/>
        <w:widowControl w:val="0"/>
        <w:numPr>
          <w:ilvl w:val="0"/>
          <w:numId w:val="13"/>
        </w:numPr>
        <w:spacing w:before="120" w:after="120"/>
        <w:ind w:left="0" w:firstLine="0"/>
        <w:contextualSpacing w:val="0"/>
        <w:rPr>
          <w:color w:val="000000" w:themeColor="text1"/>
          <w:szCs w:val="20"/>
        </w:rPr>
      </w:pPr>
      <w:r w:rsidRPr="007B2730">
        <w:rPr>
          <w:color w:val="000000" w:themeColor="text1"/>
          <w:szCs w:val="20"/>
        </w:rPr>
        <w:t>понесені або очікувані витрати, пов'язані з цією операцією, можуть бути достовірно оцінені.</w:t>
      </w:r>
    </w:p>
    <w:p w14:paraId="7C64B5E8" w14:textId="77777777" w:rsidR="000C2A4B" w:rsidRPr="007B2730" w:rsidRDefault="000C2A4B" w:rsidP="001E31A0">
      <w:pPr>
        <w:pStyle w:val="3"/>
        <w:rPr>
          <w:rStyle w:val="42"/>
          <w:color w:val="000000" w:themeColor="text1"/>
          <w:sz w:val="20"/>
          <w:szCs w:val="28"/>
          <w:u w:val="none"/>
          <w:shd w:val="clear" w:color="auto" w:fill="auto"/>
          <w:lang w:val="uk-UA"/>
        </w:rPr>
      </w:pPr>
      <w:bookmarkStart w:id="31" w:name="_Toc501620023"/>
      <w:r w:rsidRPr="007B2730">
        <w:rPr>
          <w:rStyle w:val="42"/>
          <w:color w:val="000000" w:themeColor="text1"/>
          <w:sz w:val="20"/>
          <w:szCs w:val="28"/>
          <w:u w:val="none"/>
          <w:shd w:val="clear" w:color="auto" w:fill="auto"/>
          <w:lang w:val="uk-UA"/>
        </w:rPr>
        <w:t>Надання послуг</w:t>
      </w:r>
      <w:bookmarkEnd w:id="31"/>
    </w:p>
    <w:p w14:paraId="3EA3808A" w14:textId="77777777" w:rsidR="000C2A4B" w:rsidRPr="007B2730" w:rsidRDefault="000C2A4B" w:rsidP="000C2A4B">
      <w:pPr>
        <w:widowControl w:val="0"/>
        <w:spacing w:before="120" w:after="120"/>
        <w:rPr>
          <w:rStyle w:val="42"/>
          <w:color w:val="000000" w:themeColor="text1"/>
          <w:sz w:val="20"/>
          <w:szCs w:val="20"/>
          <w:u w:val="none"/>
          <w:lang w:val="uk-UA"/>
        </w:rPr>
      </w:pPr>
      <w:r w:rsidRPr="007B2730">
        <w:rPr>
          <w:rStyle w:val="42"/>
          <w:color w:val="000000" w:themeColor="text1"/>
          <w:sz w:val="20"/>
          <w:szCs w:val="20"/>
          <w:u w:val="none"/>
          <w:lang w:val="uk-UA"/>
        </w:rPr>
        <w:t>Доходи від надання послуг визнаються з урахуванням ступеня завершеності. Ступінь завершеності надання послуг визначається наступним чином:</w:t>
      </w:r>
    </w:p>
    <w:p w14:paraId="21870055" w14:textId="77777777" w:rsidR="000C2A4B" w:rsidRPr="007B2730" w:rsidRDefault="000C2A4B" w:rsidP="003A7D0C">
      <w:pPr>
        <w:pStyle w:val="af0"/>
        <w:widowControl w:val="0"/>
        <w:numPr>
          <w:ilvl w:val="0"/>
          <w:numId w:val="14"/>
        </w:numPr>
        <w:spacing w:before="120" w:after="120"/>
        <w:ind w:left="0" w:firstLine="0"/>
        <w:contextualSpacing w:val="0"/>
        <w:rPr>
          <w:rStyle w:val="42"/>
          <w:color w:val="000000" w:themeColor="text1"/>
          <w:sz w:val="20"/>
          <w:szCs w:val="20"/>
          <w:u w:val="none"/>
          <w:lang w:val="uk-UA"/>
        </w:rPr>
      </w:pPr>
      <w:r w:rsidRPr="007B2730">
        <w:rPr>
          <w:rStyle w:val="42"/>
          <w:color w:val="000000" w:themeColor="text1"/>
          <w:sz w:val="20"/>
          <w:szCs w:val="20"/>
          <w:u w:val="none"/>
          <w:lang w:val="uk-UA"/>
        </w:rPr>
        <w:t>плата за установку визнається з урахуванням ступеня завершеності робіт з установки, який визначається як частка загального терміну, необхідного для завершення установки, що вже минула;</w:t>
      </w:r>
    </w:p>
    <w:p w14:paraId="53247A52" w14:textId="77777777" w:rsidR="000C2A4B" w:rsidRPr="007B2730" w:rsidRDefault="000C2A4B" w:rsidP="003A7D0C">
      <w:pPr>
        <w:pStyle w:val="af0"/>
        <w:widowControl w:val="0"/>
        <w:numPr>
          <w:ilvl w:val="0"/>
          <w:numId w:val="14"/>
        </w:numPr>
        <w:spacing w:before="120" w:after="120"/>
        <w:ind w:left="0" w:firstLine="0"/>
        <w:contextualSpacing w:val="0"/>
        <w:rPr>
          <w:rStyle w:val="42"/>
          <w:color w:val="000000" w:themeColor="text1"/>
          <w:sz w:val="20"/>
          <w:szCs w:val="20"/>
          <w:u w:val="none"/>
          <w:lang w:val="uk-UA"/>
        </w:rPr>
      </w:pPr>
      <w:r w:rsidRPr="007B2730">
        <w:rPr>
          <w:rStyle w:val="42"/>
          <w:color w:val="000000" w:themeColor="text1"/>
          <w:sz w:val="20"/>
          <w:szCs w:val="20"/>
          <w:u w:val="none"/>
          <w:lang w:val="uk-UA"/>
        </w:rPr>
        <w:t>плата за обслуговування, що включається в ціну товару, визнається з урахуванням частки загальних витрат на обслуговування проданого товару;</w:t>
      </w:r>
    </w:p>
    <w:p w14:paraId="39757388" w14:textId="77777777" w:rsidR="000C2A4B" w:rsidRPr="007B2730" w:rsidRDefault="000C2A4B" w:rsidP="003A7D0C">
      <w:pPr>
        <w:pStyle w:val="af0"/>
        <w:widowControl w:val="0"/>
        <w:numPr>
          <w:ilvl w:val="0"/>
          <w:numId w:val="14"/>
        </w:numPr>
        <w:spacing w:before="120" w:after="120"/>
        <w:ind w:left="0" w:firstLine="0"/>
        <w:contextualSpacing w:val="0"/>
        <w:rPr>
          <w:rStyle w:val="42"/>
          <w:color w:val="000000" w:themeColor="text1"/>
          <w:sz w:val="20"/>
          <w:szCs w:val="20"/>
          <w:u w:val="none"/>
          <w:lang w:val="uk-UA"/>
        </w:rPr>
      </w:pPr>
      <w:r w:rsidRPr="007B2730">
        <w:rPr>
          <w:rStyle w:val="42"/>
          <w:color w:val="000000" w:themeColor="text1"/>
          <w:sz w:val="20"/>
          <w:szCs w:val="20"/>
          <w:u w:val="none"/>
          <w:lang w:val="uk-UA"/>
        </w:rPr>
        <w:t>доходи за договорами з погодинними ставками і відшкодуванням прямих витрат визнається за встановленими в договорі ставками по мірі виконання робіт і понесення прямих витрат.</w:t>
      </w:r>
    </w:p>
    <w:p w14:paraId="69DDF6C7" w14:textId="77777777" w:rsidR="000C2A4B" w:rsidRPr="007B2730" w:rsidRDefault="000C2A4B" w:rsidP="001E31A0">
      <w:pPr>
        <w:pStyle w:val="3"/>
        <w:rPr>
          <w:rStyle w:val="42"/>
          <w:color w:val="000000" w:themeColor="text1"/>
          <w:sz w:val="20"/>
          <w:szCs w:val="20"/>
          <w:u w:val="none"/>
          <w:lang w:val="uk-UA"/>
        </w:rPr>
      </w:pPr>
      <w:bookmarkStart w:id="32" w:name="_Toc501620024"/>
      <w:r w:rsidRPr="007B2730">
        <w:rPr>
          <w:rStyle w:val="42"/>
          <w:color w:val="000000" w:themeColor="text1"/>
          <w:sz w:val="20"/>
          <w:szCs w:val="28"/>
          <w:u w:val="none"/>
          <w:shd w:val="clear" w:color="auto" w:fill="auto"/>
          <w:lang w:val="uk-UA"/>
        </w:rPr>
        <w:t>Роялті</w:t>
      </w:r>
      <w:bookmarkEnd w:id="32"/>
    </w:p>
    <w:p w14:paraId="03513059" w14:textId="77777777" w:rsidR="000C2A4B" w:rsidRPr="007B2730" w:rsidRDefault="000C2A4B" w:rsidP="000C2A4B">
      <w:pPr>
        <w:rPr>
          <w:rFonts w:eastAsia="Arial"/>
          <w:color w:val="000000" w:themeColor="text1"/>
          <w:szCs w:val="20"/>
        </w:rPr>
      </w:pPr>
      <w:r w:rsidRPr="007B2730">
        <w:rPr>
          <w:rFonts w:eastAsia="Arial"/>
          <w:color w:val="000000" w:themeColor="text1"/>
          <w:szCs w:val="20"/>
        </w:rPr>
        <w:t>Дохід від роялті визнається за методом нарахування виходячи із суті відповідної угоди (якщо ймовірність отримання Компанією економічної вигоди висока і сума доходу може бути достовірно оцінена). Фіксовані роялті визнаються рівномірно протягом терміну дії угоди. Роялті, які залежать від обсягу виробництва, продажу або інших показників, відображаються з урахуванням виконання відповідних умов.</w:t>
      </w:r>
    </w:p>
    <w:p w14:paraId="5CB88A11" w14:textId="77777777" w:rsidR="000C2A4B" w:rsidRPr="007B2730" w:rsidRDefault="000C2A4B" w:rsidP="001E31A0">
      <w:pPr>
        <w:pStyle w:val="3"/>
        <w:rPr>
          <w:rStyle w:val="Exact"/>
          <w:color w:val="000000" w:themeColor="text1"/>
          <w:spacing w:val="0"/>
          <w:sz w:val="20"/>
          <w:szCs w:val="28"/>
          <w:shd w:val="clear" w:color="auto" w:fill="auto"/>
          <w:lang w:val="uk-UA"/>
        </w:rPr>
      </w:pPr>
      <w:bookmarkStart w:id="33" w:name="_Toc501620025"/>
      <w:r w:rsidRPr="007B2730">
        <w:rPr>
          <w:rStyle w:val="Exact"/>
          <w:color w:val="000000" w:themeColor="text1"/>
          <w:spacing w:val="0"/>
          <w:sz w:val="20"/>
          <w:szCs w:val="28"/>
          <w:shd w:val="clear" w:color="auto" w:fill="auto"/>
          <w:lang w:val="uk-UA"/>
        </w:rPr>
        <w:t>Дивідендні і процентні доходи</w:t>
      </w:r>
      <w:bookmarkEnd w:id="33"/>
    </w:p>
    <w:p w14:paraId="2E958FD0" w14:textId="77777777" w:rsidR="000C2A4B" w:rsidRPr="007B2730" w:rsidRDefault="000C2A4B" w:rsidP="000C2A4B">
      <w:pPr>
        <w:spacing w:before="120" w:after="120"/>
        <w:rPr>
          <w:rFonts w:eastAsia="Arial"/>
          <w:color w:val="000000" w:themeColor="text1"/>
          <w:szCs w:val="20"/>
        </w:rPr>
      </w:pPr>
      <w:r w:rsidRPr="007B2730">
        <w:rPr>
          <w:rFonts w:eastAsia="Arial"/>
          <w:color w:val="000000" w:themeColor="text1"/>
          <w:szCs w:val="20"/>
        </w:rPr>
        <w:t>Дивідендні доходи визнаються в момент встановлення права акціонера на отримання виплати (якщо ймовірність отримання Компанією економічної вигоди висока і величина доходів може бути достовірно оцінена).</w:t>
      </w:r>
    </w:p>
    <w:p w14:paraId="3ABADCAE" w14:textId="77777777" w:rsidR="000C2A4B" w:rsidRPr="007B2730" w:rsidRDefault="000C2A4B" w:rsidP="000C2A4B">
      <w:pPr>
        <w:spacing w:before="120" w:after="120"/>
        <w:rPr>
          <w:color w:val="000000" w:themeColor="text1"/>
          <w:szCs w:val="20"/>
        </w:rPr>
      </w:pPr>
      <w:r w:rsidRPr="007B2730">
        <w:rPr>
          <w:rFonts w:eastAsia="Arial"/>
          <w:color w:val="000000" w:themeColor="text1"/>
          <w:szCs w:val="20"/>
        </w:rPr>
        <w:t>Процентні доходи за фінансовим активом визнаються, якщо ймовірність отримання Компанією економічної вигоди висока і величина доходів може бути достовірно оцінена. Процентні доходи розраховуються з урахуванням балансової вартості фінансового активу (без урахування відсотків) і ефективної процентної ставки, яка розраховується так, щоб забезпечити</w:t>
      </w:r>
      <w:r w:rsidRPr="007B2730">
        <w:rPr>
          <w:rStyle w:val="Exact"/>
          <w:color w:val="000000" w:themeColor="text1"/>
          <w:szCs w:val="20"/>
          <w:lang w:val="uk-UA"/>
        </w:rPr>
        <w:t xml:space="preserve"> </w:t>
      </w:r>
      <w:r w:rsidRPr="007B2730">
        <w:rPr>
          <w:rStyle w:val="Exact"/>
          <w:color w:val="000000" w:themeColor="text1"/>
          <w:sz w:val="20"/>
          <w:szCs w:val="20"/>
          <w:lang w:val="uk-UA"/>
        </w:rPr>
        <w:t>дисконтування очікуваних майбутніх грошових над</w:t>
      </w:r>
      <w:r w:rsidRPr="007B2730">
        <w:rPr>
          <w:color w:val="000000" w:themeColor="text1"/>
          <w:szCs w:val="20"/>
        </w:rPr>
        <w:t>ходжень протягом очікуваного терміну погашення фінансового активу до його балансової вартості на момент визнання.</w:t>
      </w:r>
    </w:p>
    <w:p w14:paraId="2DB0C8F1" w14:textId="77777777" w:rsidR="000C2A4B" w:rsidRPr="007B2730" w:rsidRDefault="000C2A4B" w:rsidP="008C3115">
      <w:pPr>
        <w:pStyle w:val="2"/>
        <w:rPr>
          <w:rStyle w:val="Exact"/>
          <w:color w:val="000000" w:themeColor="text1"/>
          <w:sz w:val="20"/>
          <w:szCs w:val="20"/>
          <w:shd w:val="clear" w:color="auto" w:fill="auto"/>
          <w:lang w:val="uk-UA"/>
        </w:rPr>
      </w:pPr>
      <w:bookmarkStart w:id="34" w:name="_Toc501620026"/>
      <w:r w:rsidRPr="007B2730">
        <w:rPr>
          <w:rStyle w:val="Exact"/>
          <w:color w:val="000000" w:themeColor="text1"/>
          <w:sz w:val="20"/>
          <w:szCs w:val="20"/>
          <w:shd w:val="clear" w:color="auto" w:fill="auto"/>
          <w:lang w:val="uk-UA"/>
        </w:rPr>
        <w:t>Дохід від оренди</w:t>
      </w:r>
      <w:bookmarkEnd w:id="34"/>
    </w:p>
    <w:p w14:paraId="72199532" w14:textId="03A113E7" w:rsidR="000C2A4B" w:rsidRPr="00EA1F03" w:rsidRDefault="000C2A4B" w:rsidP="000C2A4B">
      <w:pPr>
        <w:widowControl w:val="0"/>
        <w:spacing w:before="120" w:after="120"/>
        <w:ind w:right="-1"/>
        <w:rPr>
          <w:rStyle w:val="Exact"/>
          <w:color w:val="FF0000"/>
          <w:sz w:val="20"/>
          <w:szCs w:val="20"/>
          <w:lang w:val="uk-UA"/>
        </w:rPr>
      </w:pPr>
      <w:r w:rsidRPr="007B2730">
        <w:rPr>
          <w:rStyle w:val="Exact"/>
          <w:color w:val="000000" w:themeColor="text1"/>
          <w:sz w:val="20"/>
          <w:szCs w:val="20"/>
          <w:lang w:val="uk-UA"/>
        </w:rPr>
        <w:t xml:space="preserve">Політика </w:t>
      </w:r>
      <w:r w:rsidRPr="007B2730">
        <w:rPr>
          <w:rFonts w:eastAsia="Arial"/>
          <w:color w:val="000000" w:themeColor="text1"/>
          <w:szCs w:val="20"/>
        </w:rPr>
        <w:t xml:space="preserve">Компанії </w:t>
      </w:r>
      <w:r w:rsidRPr="007B2730">
        <w:rPr>
          <w:rStyle w:val="Exact"/>
          <w:color w:val="000000" w:themeColor="text1"/>
          <w:sz w:val="20"/>
          <w:szCs w:val="20"/>
          <w:lang w:val="uk-UA"/>
        </w:rPr>
        <w:t xml:space="preserve">з визнання виручки по угодах </w:t>
      </w:r>
      <w:r w:rsidRPr="00EA1F03">
        <w:rPr>
          <w:rStyle w:val="Exact"/>
          <w:color w:val="000000" w:themeColor="text1"/>
          <w:sz w:val="20"/>
          <w:szCs w:val="20"/>
          <w:lang w:val="uk-UA"/>
        </w:rPr>
        <w:t xml:space="preserve">операційної оренди приведена в Примітці </w:t>
      </w:r>
      <w:r w:rsidR="00887740" w:rsidRPr="00BC1503">
        <w:rPr>
          <w:rStyle w:val="Exact"/>
          <w:color w:val="000000" w:themeColor="text1"/>
          <w:sz w:val="20"/>
          <w:szCs w:val="20"/>
          <w:lang w:val="uk-UA"/>
        </w:rPr>
        <w:t>5</w:t>
      </w:r>
      <w:r w:rsidR="008C3115" w:rsidRPr="00BC1503">
        <w:rPr>
          <w:rStyle w:val="Exact"/>
          <w:color w:val="000000" w:themeColor="text1"/>
          <w:sz w:val="20"/>
          <w:szCs w:val="20"/>
          <w:lang w:val="uk-UA"/>
        </w:rPr>
        <w:t>.</w:t>
      </w:r>
      <w:r w:rsidR="00D63E61" w:rsidRPr="00BC1503">
        <w:rPr>
          <w:rStyle w:val="Exact"/>
          <w:color w:val="000000" w:themeColor="text1"/>
          <w:sz w:val="20"/>
          <w:szCs w:val="20"/>
          <w:lang w:val="uk-UA"/>
        </w:rPr>
        <w:t>7</w:t>
      </w:r>
      <w:r w:rsidRPr="00BC1503">
        <w:rPr>
          <w:rStyle w:val="Exact"/>
          <w:color w:val="000000" w:themeColor="text1"/>
          <w:sz w:val="20"/>
          <w:szCs w:val="20"/>
          <w:lang w:val="uk-UA"/>
        </w:rPr>
        <w:t>.</w:t>
      </w:r>
    </w:p>
    <w:p w14:paraId="5A7DA296" w14:textId="77777777" w:rsidR="000C2A4B" w:rsidRPr="007B2730" w:rsidRDefault="000C2A4B" w:rsidP="000C2A4B">
      <w:pPr>
        <w:widowControl w:val="0"/>
        <w:spacing w:before="120" w:after="120"/>
        <w:ind w:right="-1"/>
        <w:rPr>
          <w:rStyle w:val="Exact"/>
          <w:color w:val="000000" w:themeColor="text1"/>
          <w:sz w:val="20"/>
          <w:szCs w:val="20"/>
          <w:lang w:val="uk-UA"/>
        </w:rPr>
      </w:pPr>
      <w:r w:rsidRPr="00EA1F03">
        <w:rPr>
          <w:rStyle w:val="Exact"/>
          <w:color w:val="000000" w:themeColor="text1"/>
          <w:sz w:val="20"/>
          <w:szCs w:val="20"/>
          <w:lang w:val="uk-UA"/>
        </w:rPr>
        <w:t>Договори оренди, за умовами яких до орендатора переходять усі істотні ризики і вигоди, що випливають із права власності, класифікуються як фінансова оренда. Всі інші договори ор</w:t>
      </w:r>
      <w:r w:rsidRPr="007B2730">
        <w:rPr>
          <w:rStyle w:val="Exact"/>
          <w:color w:val="000000" w:themeColor="text1"/>
          <w:sz w:val="20"/>
          <w:szCs w:val="20"/>
          <w:lang w:val="uk-UA"/>
        </w:rPr>
        <w:t>енди враховуються як операційна оренда.</w:t>
      </w:r>
    </w:p>
    <w:p w14:paraId="20D34569" w14:textId="77777777" w:rsidR="000C2A4B" w:rsidRPr="007B2730" w:rsidRDefault="000C2A4B" w:rsidP="001E31A0">
      <w:pPr>
        <w:pStyle w:val="2"/>
        <w:rPr>
          <w:color w:val="000000" w:themeColor="text1"/>
        </w:rPr>
      </w:pPr>
      <w:bookmarkStart w:id="35" w:name="_Toc501620028"/>
      <w:bookmarkStart w:id="36" w:name="bookmark29"/>
      <w:r w:rsidRPr="007B2730">
        <w:rPr>
          <w:color w:val="000000" w:themeColor="text1"/>
        </w:rPr>
        <w:lastRenderedPageBreak/>
        <w:t>Оренда</w:t>
      </w:r>
      <w:bookmarkEnd w:id="35"/>
    </w:p>
    <w:p w14:paraId="5ACCC0BE" w14:textId="77777777" w:rsidR="00FA65BA" w:rsidRPr="007050B0" w:rsidRDefault="00FA65BA" w:rsidP="00FA65BA">
      <w:pPr>
        <w:rPr>
          <w:rFonts w:eastAsia="Arial"/>
          <w:color w:val="000000" w:themeColor="text1"/>
          <w:szCs w:val="20"/>
        </w:rPr>
      </w:pPr>
      <w:bookmarkStart w:id="37" w:name="_Toc501620029"/>
      <w:r w:rsidRPr="007050B0">
        <w:rPr>
          <w:rFonts w:eastAsia="Arial"/>
          <w:color w:val="000000" w:themeColor="text1"/>
          <w:szCs w:val="20"/>
        </w:rPr>
        <w:t>Договори оренди, за умовами яких до орендатора переходять усі істотні ризики і вигоди, що випливають із права власності, класифікуються як фінансова оренда. Всі інші договори оренди враховуються як операційна оренда.</w:t>
      </w:r>
    </w:p>
    <w:p w14:paraId="6BFB14EF" w14:textId="77777777" w:rsidR="000C2A4B" w:rsidRPr="007B2730" w:rsidRDefault="000C2A4B" w:rsidP="001E31A0">
      <w:pPr>
        <w:pStyle w:val="3"/>
        <w:rPr>
          <w:color w:val="000000" w:themeColor="text1"/>
        </w:rPr>
      </w:pPr>
      <w:r w:rsidRPr="007B2730">
        <w:rPr>
          <w:color w:val="000000" w:themeColor="text1"/>
        </w:rPr>
        <w:t>Компанія як орендодавець</w:t>
      </w:r>
      <w:bookmarkEnd w:id="37"/>
    </w:p>
    <w:p w14:paraId="1A5F09B7"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Суми до отримання від орендарів за договорами фінансової оренди відображаються в дебіторській заборгованості в розмірі чистих інвестицій Компанії в оренду. Дохід за фінансовою орендою розподіляється за звітними періодами так, щоб забезпечити постійний рівень прибутковості на чисті інвестиції Компанії в оренду.</w:t>
      </w:r>
    </w:p>
    <w:p w14:paraId="4B0472BE"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Дохід від операційної оренди визнається рівномірно протягом терміну оренди. Первісні прямі витрати, пов'язані з узгодженням умов договору операційної оренди і його оформленням, включаються до балансової вартості переданого в оренду активу і відносяться на витрати рівномірно протягом терміну оренди.</w:t>
      </w:r>
    </w:p>
    <w:p w14:paraId="04B2C4E2" w14:textId="77777777" w:rsidR="000C2A4B" w:rsidRPr="007B2730" w:rsidRDefault="000C2A4B" w:rsidP="001E31A0">
      <w:pPr>
        <w:pStyle w:val="3"/>
        <w:rPr>
          <w:color w:val="000000" w:themeColor="text1"/>
        </w:rPr>
      </w:pPr>
      <w:bookmarkStart w:id="38" w:name="_Toc501620030"/>
      <w:r w:rsidRPr="007B2730">
        <w:rPr>
          <w:color w:val="000000" w:themeColor="text1"/>
        </w:rPr>
        <w:t>Компанія як орендар</w:t>
      </w:r>
      <w:bookmarkEnd w:id="38"/>
    </w:p>
    <w:p w14:paraId="1B983E21"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Активи, орендовані за договорами фінансової оренди, спочатку визнаються за найменшою з а) справедливої вартості орендованого майна на початок терміну оренди, і б) теперішньою вартістю мінімальних орендних платежів. Відповідні зобов'язання перед орендодавцем відображаються в звіті про фінансовий стан як зобов'язання з фінансової оренди.</w:t>
      </w:r>
    </w:p>
    <w:p w14:paraId="3A9430DC"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Сума орендної плати розподіляється між фінансовими витратами та зменшенням зобов'язань з оренди таким чином, щоб отримати постійну ставку відсотка на залишок зобов'язання. Фінансові витрати відображаються в прибутку і збитках, якщо вони не мають безпосереднього відношення до кваліфікованих активів. Умовна орендна плата відноситься на витрати по мірі виникнення.</w:t>
      </w:r>
    </w:p>
    <w:p w14:paraId="62233C97"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Платежі за договорами операційної оренди визнаються як витрати на прямолінійній основі протягом терміну оренди, якщо тільки інший метод розподілу витрат не відповідає більш точному часовому розподілу економічних вигід від орендованих активів. Умовна орендна плата за договорами операційної оренди відноситься на витрати в міру виникнення.</w:t>
      </w:r>
    </w:p>
    <w:p w14:paraId="7CD8506F" w14:textId="12F7E375" w:rsidR="00CC30FD" w:rsidRDefault="00CC30FD" w:rsidP="00CC30FD">
      <w:pPr>
        <w:widowControl w:val="0"/>
        <w:spacing w:before="120" w:after="120"/>
        <w:rPr>
          <w:color w:val="000000" w:themeColor="text1"/>
          <w:szCs w:val="20"/>
        </w:rPr>
      </w:pPr>
      <w:r w:rsidRPr="007050B0">
        <w:rPr>
          <w:color w:val="000000" w:themeColor="text1"/>
          <w:szCs w:val="20"/>
        </w:rPr>
        <w:t>Отримані при укладанні договорів операційної оренди стимулюючі виплати визнаються як зобов'язання. Загальна сума таких заохочень рівномірно зменшує витрати з оренди, якщо тільки інший метод розподілу витрат не відповідає більш точному часовому розподілу економічних вигід від орендованих активів.</w:t>
      </w:r>
    </w:p>
    <w:p w14:paraId="497A1890" w14:textId="77777777" w:rsidR="00CC30FD" w:rsidRPr="007050B0" w:rsidRDefault="00CC30FD" w:rsidP="00CC30FD">
      <w:pPr>
        <w:pStyle w:val="3"/>
        <w:rPr>
          <w:color w:val="000000" w:themeColor="text1"/>
        </w:rPr>
      </w:pPr>
      <w:r w:rsidRPr="007050B0">
        <w:rPr>
          <w:color w:val="000000" w:themeColor="text1"/>
        </w:rPr>
        <w:t>Активи з права користування</w:t>
      </w:r>
    </w:p>
    <w:p w14:paraId="6C0D2D44" w14:textId="77777777" w:rsidR="00CC30FD" w:rsidRPr="007050B0" w:rsidRDefault="00CC30FD" w:rsidP="00CC30FD">
      <w:r w:rsidRPr="007050B0">
        <w:rPr>
          <w:color w:val="000000" w:themeColor="text1"/>
          <w:szCs w:val="20"/>
        </w:rPr>
        <w:t xml:space="preserve">При визначенні балансової вартості активу з права користування в момент визнання його на балансі орендні платежі дисконтуються із застосуванням ефективної ставки відсотка, що приймається як середньорічна ставка відсотка за користування довгостроковими кредитами в національній валюті, яка розраховується НБУ та публікується на його офіційному сайті за посиланням: </w:t>
      </w:r>
      <w:hyperlink r:id="rId8" w:anchor="1" w:history="1">
        <w:r w:rsidRPr="00427097">
          <w:rPr>
            <w:rStyle w:val="afa"/>
            <w:color w:val="auto"/>
          </w:rPr>
          <w:t>https://bank.gov.ua/</w:t>
        </w:r>
        <w:r w:rsidRPr="00427097">
          <w:rPr>
            <w:rStyle w:val="afa"/>
            <w:color w:val="auto"/>
            <w:lang w:val="en-US"/>
          </w:rPr>
          <w:t>control</w:t>
        </w:r>
        <w:r w:rsidRPr="00427097">
          <w:rPr>
            <w:rStyle w:val="afa"/>
            <w:color w:val="auto"/>
          </w:rPr>
          <w:t>/</w:t>
        </w:r>
        <w:r w:rsidRPr="00427097">
          <w:rPr>
            <w:rStyle w:val="afa"/>
            <w:color w:val="auto"/>
            <w:lang w:val="en-US"/>
          </w:rPr>
          <w:t>uk</w:t>
        </w:r>
        <w:r w:rsidRPr="00427097">
          <w:rPr>
            <w:rStyle w:val="afa"/>
            <w:color w:val="auto"/>
          </w:rPr>
          <w:t>/</w:t>
        </w:r>
        <w:r w:rsidRPr="00427097">
          <w:rPr>
            <w:rStyle w:val="afa"/>
            <w:color w:val="auto"/>
            <w:lang w:val="en-US"/>
          </w:rPr>
          <w:t>publish</w:t>
        </w:r>
        <w:r w:rsidRPr="00427097">
          <w:rPr>
            <w:rStyle w:val="afa"/>
            <w:color w:val="auto"/>
          </w:rPr>
          <w:t>/</w:t>
        </w:r>
        <w:r w:rsidRPr="00427097">
          <w:rPr>
            <w:rStyle w:val="afa"/>
            <w:color w:val="auto"/>
            <w:lang w:val="en-US"/>
          </w:rPr>
          <w:t>article</w:t>
        </w:r>
        <w:r w:rsidRPr="00427097">
          <w:rPr>
            <w:rStyle w:val="afa"/>
            <w:color w:val="auto"/>
          </w:rPr>
          <w:t>?</w:t>
        </w:r>
        <w:r w:rsidRPr="00427097">
          <w:rPr>
            <w:rStyle w:val="afa"/>
            <w:color w:val="auto"/>
            <w:lang w:val="en-US"/>
          </w:rPr>
          <w:t>art</w:t>
        </w:r>
        <w:r w:rsidRPr="00427097">
          <w:rPr>
            <w:rStyle w:val="afa"/>
            <w:color w:val="auto"/>
          </w:rPr>
          <w:t>_</w:t>
        </w:r>
        <w:r w:rsidRPr="00427097">
          <w:rPr>
            <w:rStyle w:val="afa"/>
            <w:color w:val="auto"/>
            <w:lang w:val="en-US"/>
          </w:rPr>
          <w:t>jd</w:t>
        </w:r>
        <w:r w:rsidRPr="00427097">
          <w:rPr>
            <w:rStyle w:val="afa"/>
            <w:color w:val="auto"/>
          </w:rPr>
          <w:t>=27843415&amp;</w:t>
        </w:r>
        <w:r w:rsidRPr="00427097">
          <w:rPr>
            <w:rStyle w:val="afa"/>
            <w:color w:val="auto"/>
            <w:lang w:val="en-US"/>
          </w:rPr>
          <w:t>cat</w:t>
        </w:r>
        <w:r w:rsidRPr="00427097">
          <w:rPr>
            <w:rStyle w:val="afa"/>
            <w:color w:val="auto"/>
          </w:rPr>
          <w:t>_</w:t>
        </w:r>
        <w:r w:rsidRPr="00427097">
          <w:rPr>
            <w:rStyle w:val="afa"/>
            <w:color w:val="auto"/>
            <w:lang w:val="en-US"/>
          </w:rPr>
          <w:t>id</w:t>
        </w:r>
        <w:r w:rsidRPr="00427097">
          <w:rPr>
            <w:rStyle w:val="afa"/>
            <w:color w:val="auto"/>
          </w:rPr>
          <w:t>44578#1</w:t>
        </w:r>
      </w:hyperlink>
      <w:r w:rsidRPr="00FE3AE3">
        <w:rPr>
          <w:color w:val="auto"/>
        </w:rPr>
        <w:t xml:space="preserve">, </w:t>
      </w:r>
      <w:r w:rsidRPr="007050B0">
        <w:t>назва файлу «Вартість кредитів за даними статистичної звітності банків України (без урахування овердрафтів)» (розділ Грошово-кредитна та фінансова статистика/ Процентні ставки/ Щоденні дані).</w:t>
      </w:r>
    </w:p>
    <w:p w14:paraId="508E8B8E" w14:textId="77777777" w:rsidR="00CC30FD" w:rsidRPr="007050B0" w:rsidRDefault="00CC30FD" w:rsidP="00CC30FD">
      <w:pPr>
        <w:widowControl w:val="0"/>
        <w:spacing w:before="120" w:after="120"/>
      </w:pPr>
      <w:r w:rsidRPr="007050B0">
        <w:t>Зазначена ставка визначається на дату визнання договору оренди та залишається не змінною для конкретного договору протягом всього терміну оренди основних засобів.</w:t>
      </w:r>
    </w:p>
    <w:p w14:paraId="078C9830" w14:textId="77777777" w:rsidR="00CC30FD" w:rsidRPr="007050B0" w:rsidRDefault="00CC30FD" w:rsidP="00CC30FD">
      <w:pPr>
        <w:widowControl w:val="0"/>
        <w:spacing w:before="120" w:after="120"/>
      </w:pPr>
      <w:r w:rsidRPr="007050B0">
        <w:t>Орендні платежі, які сплачені авансом, а також супутні послуги, пов’язанні з визнанням договору оренди (наприклад, витрати на укладання договору) включаються до вартості активу у номінальній величині та не включаються до вартості орендного зобов’язання. Витрати на приведення базового активу до первісного стану в кінці оренди (наприклад, демонтаж, поліпшень), включаються у вартість активу з права користування у дисконтованій величині, але не включаються до вартості орендного зобов’язання, якщо такі витрати не компенсуються орендодавцем.</w:t>
      </w:r>
    </w:p>
    <w:p w14:paraId="37B7157F"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Не визнається актив з правом користування та зобов’язання за договором оренди за такими договорами:</w:t>
      </w:r>
    </w:p>
    <w:p w14:paraId="05C07B7D"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 xml:space="preserve">- Договори короткострокової оренди, укладені на термін до 12 місяців, якщо договором не передбачено безумовне право орендаря продовжити термін оренди на довший строк та таке продовження не </w:t>
      </w:r>
      <w:r w:rsidRPr="007050B0">
        <w:rPr>
          <w:color w:val="000000" w:themeColor="text1"/>
          <w:szCs w:val="20"/>
        </w:rPr>
        <w:lastRenderedPageBreak/>
        <w:t>відбувається в рамках звичайної бізнес-практики орендаря. Відповідно до п.18 МСФЗ 16 строк оренди визнається як термін, що не може бути припинений, з врахуванням таких періодів:</w:t>
      </w:r>
    </w:p>
    <w:p w14:paraId="444E0F6D"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 xml:space="preserve">а) періоди, які охоплюються можливістю продовження оренди у випадку, якщо орендар обґрунтовано впевнений у тому, що він реалізує таку можливість; та </w:t>
      </w:r>
    </w:p>
    <w:p w14:paraId="01B2981A"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б) періоди, які охоплюються можливістю припинити дію оренди, якщо орендар обґрунтовано впевнений у тому, що він не реалізує таку можливість.</w:t>
      </w:r>
    </w:p>
    <w:p w14:paraId="3B81C635" w14:textId="77777777" w:rsidR="00CC30FD" w:rsidRPr="007050B0" w:rsidRDefault="00CC30FD" w:rsidP="00CC30FD">
      <w:pPr>
        <w:widowControl w:val="0"/>
        <w:spacing w:before="120" w:after="120"/>
        <w:rPr>
          <w:color w:val="000000" w:themeColor="text1"/>
          <w:szCs w:val="20"/>
        </w:rPr>
      </w:pPr>
      <w:r w:rsidRPr="007050B0">
        <w:rPr>
          <w:color w:val="000000" w:themeColor="text1"/>
          <w:szCs w:val="20"/>
        </w:rPr>
        <w:t>- Договори оренди, за якою базовий актив є малоцінний (наприклад, малоцінне обладнання, офісна техніка та офісні меблі). Не визнається в обліку актив з права користування за договорами оренди, за якими вартість даного активу визнається як несуттєва – менша еквіваленту 5 000 доларів США по курсу НБУ на дату укладання такого договору оренди та якщо за таким договором оренди заборонено передавати актив у суборенду. Вартісна величина 5 000 доларів США п</w:t>
      </w:r>
      <w:r w:rsidRPr="007050B0">
        <w:t xml:space="preserve">рийнята за основу на підставі суджень та роз’яснень, які опубліковані провідними аудиторськими компаніями. Вартість активу з метою </w:t>
      </w:r>
      <w:r w:rsidRPr="007050B0">
        <w:rPr>
          <w:color w:val="000000" w:themeColor="text1"/>
        </w:rPr>
        <w:t>визначення її сутності оцінюється на той момент, коли актив є новим.</w:t>
      </w:r>
    </w:p>
    <w:p w14:paraId="377B10BE" w14:textId="47E6E5A4" w:rsidR="000C2A4B" w:rsidRPr="007B2730" w:rsidRDefault="000C2A4B" w:rsidP="008C3115">
      <w:pPr>
        <w:pStyle w:val="2"/>
        <w:rPr>
          <w:color w:val="000000" w:themeColor="text1"/>
        </w:rPr>
      </w:pPr>
      <w:bookmarkStart w:id="39" w:name="_Toc501620031"/>
      <w:bookmarkEnd w:id="36"/>
      <w:r w:rsidRPr="007B2730">
        <w:rPr>
          <w:color w:val="000000" w:themeColor="text1"/>
        </w:rPr>
        <w:t>Іноземна валюта</w:t>
      </w:r>
      <w:bookmarkEnd w:id="39"/>
    </w:p>
    <w:p w14:paraId="073E1A1A"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При підготовці фінансової звітності окремих підприємств угоди в валюті, відмінної від функціональної ( в іноземній валюті), відображаються по курсу на дату угоди. Монетарні статті, виражені в іноземних валютах, перераховуються по відповідному валютному курсу у функціональну валюту за відповідним курсом обміну валют, що діяв на дату складання звітності. Немонетарні статті, які обліковуються в іноземній валюті і які оцінюються за справедливою вартістю, підлягають перерахунку з використанням курсу обміну валют, що діяв на дату визначення справедливої вартості. Немонетарні статті, які відображені за історичною вартістю, вираженою в іноземній валюті, не перераховуються.</w:t>
      </w:r>
    </w:p>
    <w:p w14:paraId="747BF916"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Курсові різниці за монетарними статтями від зміни курсів валют відображаються в прибутку або збитках в періоді їх виникнення, за наступними виключеннями:</w:t>
      </w:r>
    </w:p>
    <w:p w14:paraId="530FB02F" w14:textId="77777777" w:rsidR="000C2A4B" w:rsidRPr="00EA1F03" w:rsidRDefault="000C2A4B" w:rsidP="003A7D0C">
      <w:pPr>
        <w:pStyle w:val="af0"/>
        <w:widowControl w:val="0"/>
        <w:numPr>
          <w:ilvl w:val="0"/>
          <w:numId w:val="7"/>
        </w:numPr>
        <w:spacing w:before="120" w:after="120"/>
        <w:rPr>
          <w:color w:val="000000" w:themeColor="text1"/>
          <w:szCs w:val="20"/>
        </w:rPr>
      </w:pPr>
      <w:r w:rsidRPr="007B2730">
        <w:rPr>
          <w:color w:val="000000" w:themeColor="text1"/>
          <w:szCs w:val="20"/>
        </w:rPr>
        <w:t xml:space="preserve">курсові різниці за позиками в іноземній валюті, що відносяться до об'єктів незавершеного будівництва, призначених для використання у виробничих цілях, включаються у вартість таких об'єктів, коригуючи </w:t>
      </w:r>
      <w:r w:rsidRPr="00EA1F03">
        <w:rPr>
          <w:color w:val="000000" w:themeColor="text1"/>
          <w:szCs w:val="20"/>
        </w:rPr>
        <w:t>процентні витрати за позиками в іноземній валюті;</w:t>
      </w:r>
    </w:p>
    <w:p w14:paraId="1BE6EA32" w14:textId="6E5B0BD9" w:rsidR="000C2A4B" w:rsidRPr="00EA1F03" w:rsidRDefault="000C2A4B" w:rsidP="003A7D0C">
      <w:pPr>
        <w:pStyle w:val="af0"/>
        <w:widowControl w:val="0"/>
        <w:numPr>
          <w:ilvl w:val="0"/>
          <w:numId w:val="7"/>
        </w:numPr>
        <w:spacing w:before="120" w:after="120"/>
        <w:rPr>
          <w:color w:val="000000" w:themeColor="text1"/>
          <w:szCs w:val="20"/>
        </w:rPr>
      </w:pPr>
      <w:r w:rsidRPr="00EA1F03">
        <w:rPr>
          <w:color w:val="000000" w:themeColor="text1"/>
          <w:szCs w:val="20"/>
        </w:rPr>
        <w:t>курсові різниці від хеджування окремих валютних ризиків;</w:t>
      </w:r>
    </w:p>
    <w:p w14:paraId="04B341F4" w14:textId="77777777" w:rsidR="000C2A4B" w:rsidRPr="007B2730" w:rsidRDefault="000C2A4B" w:rsidP="003A7D0C">
      <w:pPr>
        <w:pStyle w:val="af0"/>
        <w:widowControl w:val="0"/>
        <w:numPr>
          <w:ilvl w:val="0"/>
          <w:numId w:val="7"/>
        </w:numPr>
        <w:spacing w:before="120" w:after="120"/>
        <w:contextualSpacing w:val="0"/>
        <w:rPr>
          <w:color w:val="000000" w:themeColor="text1"/>
          <w:szCs w:val="20"/>
        </w:rPr>
      </w:pPr>
      <w:r w:rsidRPr="00EA1F03">
        <w:rPr>
          <w:color w:val="000000" w:themeColor="text1"/>
          <w:szCs w:val="20"/>
        </w:rPr>
        <w:t>курсові різниці із заборгованості закордонної господарської одиниці, погашення якої не планується і малоймовірно (така заборгованість входить</w:t>
      </w:r>
      <w:r w:rsidRPr="007B2730">
        <w:rPr>
          <w:color w:val="000000" w:themeColor="text1"/>
          <w:szCs w:val="20"/>
        </w:rPr>
        <w:t xml:space="preserve"> у чисті інвестиції Компанії в закордонну господарську одиницю), спочатку відображаються в іншому сукупному доході, перекласифіковуються в прибутки або збитки при погашенні заборгованості.</w:t>
      </w:r>
    </w:p>
    <w:p w14:paraId="6BF5F38C"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Для подання у звітності активи і зобов'язання закордонної господарської одиниці Компанії перераховані в валюту представлення звітності за курсом на звітну дату. Статті доходів і витрат перераховані за середнім курсом за період, якщо курси протягом періоду істотно не змінювалися. В іншому випадку використовуються курси на дату здійснення операцій. Курсові різниці, що виникають, визнаються і накопичуються в іншому сукупному доході (при цьому вони належним чином розподіляються на неконтрольовані частки).</w:t>
      </w:r>
    </w:p>
    <w:p w14:paraId="558D2DC1"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При продажу закордонного підрозділу (тобто продажу всієї частки Компанії в закордонній господарській одиниці, втраті контролю над дочірнім підприємством, що включає закордонну господарську одиницю, частковому вибутті частки в спільному або асоційованому підприємстві, що включає закордонну господарську одиницю, в якому частка участі, що залишилася, стає фінансовим активом) усі накопичені в іншому сукупному доході курсові різниці, що відносяться до акціонерів Компанії, перекласифіковуються в прибутки або збитки.</w:t>
      </w:r>
    </w:p>
    <w:p w14:paraId="24213489"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Крім того, при частковому продажу, що не веде до втрати контролю над дочірнім підприємством, що включає закордонну господарську одиницю, пропорційна частка накопичених курсових різниць перераховується на новий відсоток неконтрольованих часток, а не рекласифікується в прибутки або збитки. В усіх інших випадках часткового продажу (тобто при неповному продажу асоційованого або спільного підприємства, який не веде до втрати значного впливу або спільного контролю Компанією), пропорційна частка накопичених курсових різниць рекласифікується в прибутки або збитки.</w:t>
      </w:r>
    </w:p>
    <w:p w14:paraId="28E92311"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Гудвіл та коригування справедливої вартості за ідентифікованими придбаними активами і зобов'язаннями, що виникають при придбанні закордонної господарської одиниці, розглядаються як активи і зобов'язання закордонної господарської одиниці і перераховуються за курсом на звітну дату. Курсові різниці, що виникають, визнаються в іншому сукупному доході.</w:t>
      </w:r>
    </w:p>
    <w:p w14:paraId="12F31EF7"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lastRenderedPageBreak/>
        <w:t>Монетарні активи і зобов'язання, представлені в іноземних валютах, перераховуються за курсом на кінець звітного періоду.</w:t>
      </w:r>
    </w:p>
    <w:p w14:paraId="13F7B0C4" w14:textId="77777777" w:rsidR="000C2A4B" w:rsidRPr="007B2730" w:rsidRDefault="000C2A4B" w:rsidP="001E31A0">
      <w:pPr>
        <w:pStyle w:val="2"/>
        <w:rPr>
          <w:color w:val="000000" w:themeColor="text1"/>
        </w:rPr>
      </w:pPr>
      <w:bookmarkStart w:id="40" w:name="_Ref497203953"/>
      <w:bookmarkStart w:id="41" w:name="_Toc501620032"/>
      <w:r w:rsidRPr="007B2730">
        <w:rPr>
          <w:color w:val="000000" w:themeColor="text1"/>
        </w:rPr>
        <w:t>Витрати на позики</w:t>
      </w:r>
      <w:bookmarkEnd w:id="40"/>
      <w:bookmarkEnd w:id="41"/>
    </w:p>
    <w:p w14:paraId="20450A2D"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Витрати на позики, безпосередньо пов'язані з придбанням, будівництвом або створенням активів, для підготовки яких до запланованого використання або продажу необхідно чимало часу (кваліфіковані активи), включаються до вартості таких активів до тих пір, поки вони не будуть готові до запланованого використання або продажу.</w:t>
      </w:r>
    </w:p>
    <w:p w14:paraId="13A411F4"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Дохід, отриманий у результаті тимчасового інвестування отриманих позикових коштів до моменту їх витрачання на придбання кваліфікованих активів, віднімається від витрат на залучення позикових коштів.</w:t>
      </w:r>
    </w:p>
    <w:p w14:paraId="18517A8F"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Усі інші витрати на позики відображаються в прибутку або збитках в міру їх виникнення.</w:t>
      </w:r>
    </w:p>
    <w:p w14:paraId="08D78D47" w14:textId="77777777" w:rsidR="000C2A4B" w:rsidRPr="007B2730" w:rsidRDefault="000C2A4B" w:rsidP="001E31A0">
      <w:pPr>
        <w:pStyle w:val="2"/>
        <w:rPr>
          <w:color w:val="000000" w:themeColor="text1"/>
        </w:rPr>
      </w:pPr>
      <w:bookmarkStart w:id="42" w:name="_Toc501620033"/>
      <w:r w:rsidRPr="007B2730">
        <w:rPr>
          <w:color w:val="000000" w:themeColor="text1"/>
        </w:rPr>
        <w:t>Державні гранти</w:t>
      </w:r>
      <w:bookmarkEnd w:id="42"/>
    </w:p>
    <w:p w14:paraId="5053A1A7"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Державні гранти визнаються, коли з'являється достатня впевненість, що будуть виконані всі умови, необхідні для одержання грантів, і що гранти будуть одержані.</w:t>
      </w:r>
    </w:p>
    <w:p w14:paraId="336D5ABC"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Державні гранти визнаються у прибутку або збитку на систематичній основі одночасно з визнанням у прибутку або збитку витрат, компенсованих грантами. Зокрема, державні гранти, основна умова яких – прийняття Компанією зобов’язань, що виникають у зв’язку з купівлею, будівництвом та іншим придбанням довгострокових активів, відображаються у звіті про фінансовий стан як доходи майбутніх періодів з подальшим віднесенням в прибуток або збиток на систематичній і раціональній основі протягом строку корисного використання відповідних активів.</w:t>
      </w:r>
    </w:p>
    <w:p w14:paraId="053EBAB0"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Державні гранти, що компенсують вже понесені витрати, збитки або представлені у вигляді фінансової допомоги, що не пов’язана з майбутніми витратами, відносяться на доходи періоду, в якому виникає право їх отримання.</w:t>
      </w:r>
    </w:p>
    <w:p w14:paraId="528CA3FD"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Економічні вигоди від отриманих державних позик за ставкою, що нижча, ніж ринкова, враховуються як державний грант в розмірі різниці між надходженнями за позикою та її справедливою вартістю, розрахованою за діючими ринковими ставками.</w:t>
      </w:r>
    </w:p>
    <w:p w14:paraId="787C07A2" w14:textId="77777777" w:rsidR="000C2A4B" w:rsidRPr="007B2730" w:rsidRDefault="000C2A4B" w:rsidP="001E31A0">
      <w:pPr>
        <w:pStyle w:val="2"/>
        <w:rPr>
          <w:color w:val="000000" w:themeColor="text1"/>
        </w:rPr>
      </w:pPr>
      <w:bookmarkStart w:id="43" w:name="_Toc501620034"/>
      <w:r w:rsidRPr="007B2730">
        <w:rPr>
          <w:color w:val="000000" w:themeColor="text1"/>
        </w:rPr>
        <w:t>Виплати працівникам</w:t>
      </w:r>
      <w:bookmarkEnd w:id="43"/>
    </w:p>
    <w:p w14:paraId="493DD32D" w14:textId="77777777" w:rsidR="000C2A4B" w:rsidRPr="007B2730" w:rsidRDefault="000C2A4B" w:rsidP="001E31A0">
      <w:pPr>
        <w:pStyle w:val="3"/>
        <w:rPr>
          <w:color w:val="000000" w:themeColor="text1"/>
        </w:rPr>
      </w:pPr>
      <w:bookmarkStart w:id="44" w:name="_Toc501620035"/>
      <w:r w:rsidRPr="007B2730">
        <w:rPr>
          <w:color w:val="000000" w:themeColor="text1"/>
        </w:rPr>
        <w:t>Пенсійне забезпечення та вихідна допомога</w:t>
      </w:r>
      <w:bookmarkEnd w:id="44"/>
    </w:p>
    <w:p w14:paraId="63DB52F7"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Платежі за пенсійними програмами з визначеним внеском відносяться на витрати по мірі надання працівниками послуг, що дають їм право на пенсійні виплати.</w:t>
      </w:r>
    </w:p>
    <w:p w14:paraId="700AC3F7"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Витрати за пенсійними програмами з визначеними виплатами оцінюються за методом прогнозованої облікової одиниці. При цьому актуарна оцінка проводиться на кінець року. Переоцінка, яка включає зміни актуарних припущень, ефект зміни граничної межі активів (якщо такий можна застосувати) і повернення на активи пенсійних програм (за виключенням процентного доходу), слід визнавати негайно в іншому сукупному доході звітного періоду. Визнана в іншому сукупному доході переоцінка не підлягає рекласифікації в прибутки або збитки. Вартість послуг минулих періодів визнається в прибутку або збитку в періоді зміни пенсійних програм. Чистий процентний дохід/(витрати) розраховується шляхом застосування ставки дисконтування на початок періоду до чистих активів/зобов'язань з пенсійних програм на цю дату.</w:t>
      </w:r>
    </w:p>
    <w:p w14:paraId="680CCCB2"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Категорії витрат за пенсійними програмами з визначеними виплатами включають:</w:t>
      </w:r>
    </w:p>
    <w:p w14:paraId="4E15AD24" w14:textId="77777777" w:rsidR="000C2A4B" w:rsidRPr="007B2730" w:rsidRDefault="000C2A4B" w:rsidP="003A7D0C">
      <w:pPr>
        <w:pStyle w:val="af0"/>
        <w:widowControl w:val="0"/>
        <w:numPr>
          <w:ilvl w:val="0"/>
          <w:numId w:val="10"/>
        </w:numPr>
        <w:spacing w:before="120" w:after="120"/>
        <w:rPr>
          <w:color w:val="000000" w:themeColor="text1"/>
          <w:szCs w:val="20"/>
        </w:rPr>
      </w:pPr>
      <w:r w:rsidRPr="007B2730">
        <w:rPr>
          <w:color w:val="000000" w:themeColor="text1"/>
          <w:szCs w:val="20"/>
        </w:rPr>
        <w:t>вартість послуг (включаючи вартість послуг поточного та минулих періодів, а також прибуток або збиток від секвестрів і погашень пенсійних програм);</w:t>
      </w:r>
    </w:p>
    <w:p w14:paraId="30A02E2C" w14:textId="77777777" w:rsidR="000C2A4B" w:rsidRPr="007B2730" w:rsidRDefault="000C2A4B" w:rsidP="003A7D0C">
      <w:pPr>
        <w:pStyle w:val="af0"/>
        <w:widowControl w:val="0"/>
        <w:numPr>
          <w:ilvl w:val="0"/>
          <w:numId w:val="10"/>
        </w:numPr>
        <w:spacing w:before="120" w:after="120"/>
        <w:rPr>
          <w:color w:val="000000" w:themeColor="text1"/>
          <w:szCs w:val="20"/>
        </w:rPr>
      </w:pPr>
      <w:r w:rsidRPr="007B2730">
        <w:rPr>
          <w:color w:val="000000" w:themeColor="text1"/>
          <w:szCs w:val="20"/>
        </w:rPr>
        <w:t>чистий процентний дохід/(витрати); і</w:t>
      </w:r>
    </w:p>
    <w:p w14:paraId="0C181DA3" w14:textId="77777777" w:rsidR="000C2A4B" w:rsidRPr="007B2730" w:rsidRDefault="000C2A4B" w:rsidP="003A7D0C">
      <w:pPr>
        <w:pStyle w:val="af0"/>
        <w:widowControl w:val="0"/>
        <w:numPr>
          <w:ilvl w:val="0"/>
          <w:numId w:val="10"/>
        </w:numPr>
        <w:spacing w:before="120" w:after="120"/>
        <w:rPr>
          <w:color w:val="000000" w:themeColor="text1"/>
          <w:szCs w:val="20"/>
        </w:rPr>
      </w:pPr>
      <w:r w:rsidRPr="007B2730">
        <w:rPr>
          <w:color w:val="000000" w:themeColor="text1"/>
          <w:szCs w:val="20"/>
        </w:rPr>
        <w:t>переоцінка.</w:t>
      </w:r>
    </w:p>
    <w:p w14:paraId="1435ACEA" w14:textId="77777777" w:rsidR="000C2A4B" w:rsidRPr="00CC30FD" w:rsidRDefault="000C2A4B" w:rsidP="000C2A4B">
      <w:pPr>
        <w:widowControl w:val="0"/>
        <w:spacing w:before="120" w:after="120"/>
        <w:rPr>
          <w:color w:val="000000" w:themeColor="text1"/>
          <w:szCs w:val="20"/>
        </w:rPr>
      </w:pPr>
      <w:r w:rsidRPr="00CC30FD">
        <w:rPr>
          <w:color w:val="000000" w:themeColor="text1"/>
          <w:szCs w:val="20"/>
        </w:rPr>
        <w:t>Компанія відображає перші два компоненти витрат у складі прибутків та збитків за статтею «Витрати на персонал». Прибуток і збиток від секвестру враховуються як вартість послуг минулих періодів.</w:t>
      </w:r>
    </w:p>
    <w:p w14:paraId="6A375769" w14:textId="77777777" w:rsidR="000C2A4B" w:rsidRPr="00CC30FD" w:rsidRDefault="000C2A4B" w:rsidP="000C2A4B">
      <w:pPr>
        <w:widowControl w:val="0"/>
        <w:spacing w:before="120" w:after="120"/>
        <w:rPr>
          <w:color w:val="000000" w:themeColor="text1"/>
          <w:szCs w:val="20"/>
        </w:rPr>
      </w:pPr>
      <w:r w:rsidRPr="00CC30FD">
        <w:rPr>
          <w:color w:val="000000" w:themeColor="text1"/>
          <w:szCs w:val="20"/>
        </w:rPr>
        <w:t xml:space="preserve">Пенсійні зобов'язання відображені в звіті про фінансовий стан за фактичним дефіцитом або профіцитом пенсійних програм з визначеними виплатами. Величина профіциту при цьому обмежена теперішньою </w:t>
      </w:r>
      <w:r w:rsidRPr="00CC30FD">
        <w:rPr>
          <w:color w:val="000000" w:themeColor="text1"/>
          <w:szCs w:val="20"/>
        </w:rPr>
        <w:lastRenderedPageBreak/>
        <w:t>вартістю економічних вигід у вигляді повернення коштів з пенсійних програм або відрахувань з майбутніх внесків за пенсійними програмами.</w:t>
      </w:r>
    </w:p>
    <w:p w14:paraId="68213F25" w14:textId="77777777" w:rsidR="000C2A4B" w:rsidRPr="007B2730" w:rsidRDefault="000C2A4B" w:rsidP="000C2A4B">
      <w:pPr>
        <w:widowControl w:val="0"/>
        <w:spacing w:before="120" w:after="120"/>
        <w:rPr>
          <w:color w:val="000000" w:themeColor="text1"/>
          <w:szCs w:val="20"/>
        </w:rPr>
      </w:pPr>
      <w:r w:rsidRPr="00CC30FD">
        <w:rPr>
          <w:color w:val="000000" w:themeColor="text1"/>
          <w:szCs w:val="20"/>
        </w:rPr>
        <w:t>Зобов'язання за вихідною допомогою відображаються на одну з дат, що відбулася раніше: а) коли підприємство вже не може відкликати пропозицію вихідної допомоги, і б) коли підприємство визнало відповідні витрати на реструктуризацію.</w:t>
      </w:r>
    </w:p>
    <w:p w14:paraId="5E804CC6" w14:textId="77777777" w:rsidR="000C2A4B" w:rsidRPr="007B2730" w:rsidRDefault="000C2A4B" w:rsidP="001E31A0">
      <w:pPr>
        <w:pStyle w:val="3"/>
        <w:rPr>
          <w:color w:val="000000" w:themeColor="text1"/>
        </w:rPr>
      </w:pPr>
      <w:bookmarkStart w:id="45" w:name="_Toc501620036"/>
      <w:r w:rsidRPr="007B2730">
        <w:rPr>
          <w:color w:val="000000" w:themeColor="text1"/>
        </w:rPr>
        <w:t>Короткострокові та інші довгострокові виплати працівникам</w:t>
      </w:r>
      <w:bookmarkEnd w:id="45"/>
    </w:p>
    <w:p w14:paraId="7B0E3C11"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Компанія визнає зобов’язання з виплат працівникам, у тому числі: заробітної плати, відпусток, оплати тимчасової непрацездатності в тому періоді, коли надана відповідна послуга, в розмірі винагороди, яку Компанія планує виплатити, без врахування ефекту дисконтування.</w:t>
      </w:r>
    </w:p>
    <w:p w14:paraId="6C2346D8"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 xml:space="preserve">Зобов’язання, визнані щодо короткострокових виплат працівникам, оцінюються в сумі винагороди, яку Компанія планує виплатити, без врахування ефекту дисконтування. </w:t>
      </w:r>
    </w:p>
    <w:p w14:paraId="2061B140"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Зобов’язання, визнані щодо інших довгострокових виплат працівникам, визнаються за приведеною вартістю очікуваних майбутніх платежів за послуги, надані працівниками станом на звітну дату.</w:t>
      </w:r>
    </w:p>
    <w:p w14:paraId="5ED9A390" w14:textId="77777777" w:rsidR="000C2A4B" w:rsidRPr="007B2730" w:rsidRDefault="000C2A4B" w:rsidP="001E31A0">
      <w:pPr>
        <w:pStyle w:val="3"/>
        <w:rPr>
          <w:color w:val="000000" w:themeColor="text1"/>
        </w:rPr>
      </w:pPr>
      <w:bookmarkStart w:id="46" w:name="_Toc501620037"/>
      <w:r w:rsidRPr="007B2730">
        <w:rPr>
          <w:color w:val="000000" w:themeColor="text1"/>
        </w:rPr>
        <w:t>Внески працівників або третіх осіб в пенсійні програми з визначеними виплатами</w:t>
      </w:r>
      <w:bookmarkEnd w:id="46"/>
    </w:p>
    <w:p w14:paraId="5E64B7CF"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Добровільні внески працівників або третіх осіб зменшують вартість послуг в момент оплати внесків до програми.</w:t>
      </w:r>
    </w:p>
    <w:p w14:paraId="58EC5AA3"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Якщо формалізовані положення програми передбачають внески працівників або третіх осіб, облік залежить від того, чи пов'язані внески з послугами, наступним чином:</w:t>
      </w:r>
    </w:p>
    <w:p w14:paraId="7E5E0244" w14:textId="77777777" w:rsidR="000C2A4B" w:rsidRPr="007B2730" w:rsidRDefault="000C2A4B" w:rsidP="003A7D0C">
      <w:pPr>
        <w:pStyle w:val="af0"/>
        <w:widowControl w:val="0"/>
        <w:numPr>
          <w:ilvl w:val="0"/>
          <w:numId w:val="11"/>
        </w:numPr>
        <w:spacing w:before="120" w:after="120"/>
        <w:rPr>
          <w:color w:val="000000" w:themeColor="text1"/>
          <w:szCs w:val="20"/>
        </w:rPr>
      </w:pPr>
      <w:r w:rsidRPr="007B2730">
        <w:rPr>
          <w:color w:val="000000" w:themeColor="text1"/>
          <w:szCs w:val="20"/>
        </w:rPr>
        <w:t>якщо внески не пов’язані з послугами (наприклад, внески потрібні для зменшення дефіциту, що виникає в результаті збитків від активів програми або в результаті актуарних збитків), то вони впливають на результати переоцінки чистого зобов'язання (активу).</w:t>
      </w:r>
    </w:p>
    <w:p w14:paraId="7789EFD9" w14:textId="77777777" w:rsidR="000C2A4B" w:rsidRPr="007B2730" w:rsidRDefault="000C2A4B" w:rsidP="003A7D0C">
      <w:pPr>
        <w:pStyle w:val="af0"/>
        <w:widowControl w:val="0"/>
        <w:numPr>
          <w:ilvl w:val="0"/>
          <w:numId w:val="11"/>
        </w:numPr>
        <w:spacing w:before="120" w:after="120"/>
        <w:rPr>
          <w:color w:val="000000" w:themeColor="text1"/>
          <w:szCs w:val="20"/>
        </w:rPr>
      </w:pPr>
      <w:r w:rsidRPr="007B2730">
        <w:rPr>
          <w:color w:val="000000" w:themeColor="text1"/>
          <w:szCs w:val="20"/>
        </w:rPr>
        <w:t xml:space="preserve">якщо внески пов'язані з послугами, то вони зменшують вартість послуг. Якщо величина внесків залежить від стажу роботи, Компанія зменшує вартість послуг шляхом розподілу внесків між періодами надання послуг з використанням того ж методу розподілу, який потрібен відповідно до пункту 70 МСФЗ (IFRS) 2 для загальної величини винагород. </w:t>
      </w:r>
    </w:p>
    <w:p w14:paraId="01C34F7F" w14:textId="77777777" w:rsidR="000C2A4B" w:rsidRPr="007B2730" w:rsidRDefault="000C2A4B" w:rsidP="001E31A0">
      <w:pPr>
        <w:pStyle w:val="2"/>
        <w:rPr>
          <w:color w:val="000000" w:themeColor="text1"/>
        </w:rPr>
      </w:pPr>
      <w:bookmarkStart w:id="47" w:name="_Toc501620038"/>
      <w:r w:rsidRPr="007B2730">
        <w:rPr>
          <w:color w:val="000000" w:themeColor="text1"/>
        </w:rPr>
        <w:t>Платіж на основі акцій</w:t>
      </w:r>
      <w:bookmarkEnd w:id="47"/>
    </w:p>
    <w:p w14:paraId="3CCD71C3" w14:textId="77777777" w:rsidR="000C2A4B" w:rsidRPr="007B2730" w:rsidRDefault="000C2A4B" w:rsidP="001E31A0">
      <w:pPr>
        <w:pStyle w:val="3"/>
        <w:rPr>
          <w:color w:val="000000" w:themeColor="text1"/>
        </w:rPr>
      </w:pPr>
      <w:bookmarkStart w:id="48" w:name="_Toc501620039"/>
      <w:r w:rsidRPr="007B2730">
        <w:rPr>
          <w:color w:val="000000" w:themeColor="text1"/>
        </w:rPr>
        <w:t>Платіж на основі акцій Компанії</w:t>
      </w:r>
      <w:bookmarkEnd w:id="48"/>
    </w:p>
    <w:p w14:paraId="30920947"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 xml:space="preserve">Виплати на основі акцій з розрахунками інструментами власного капіталу працівникам та іншим особам обліковуються за справедливою вартістю інструментів власного капіталу на дату надання. </w:t>
      </w:r>
    </w:p>
    <w:p w14:paraId="6D7AC58D" w14:textId="332FF5EC" w:rsidR="000C2A4B" w:rsidRPr="007B2730" w:rsidRDefault="000C2A4B" w:rsidP="000C2A4B">
      <w:pPr>
        <w:widowControl w:val="0"/>
        <w:spacing w:before="120" w:after="120"/>
        <w:rPr>
          <w:color w:val="000000" w:themeColor="text1"/>
          <w:szCs w:val="20"/>
        </w:rPr>
      </w:pPr>
      <w:r w:rsidRPr="007B2730">
        <w:rPr>
          <w:color w:val="000000" w:themeColor="text1"/>
          <w:szCs w:val="20"/>
        </w:rPr>
        <w:t>Справедлива вартість платежу на основі акцій з використанням інструментів власного капіталу, визначена на дату надання, відноситься на витрати рівномірно протягом терміну переходу прав за інструментами власного капіталу, обумовленого досягненням цільових показників, виходячи з оцінки Компанією кількості інструментів власного капіталу, права на які перейдуть працівникам, з відповідним збільшенням капіталу. На кожну звітну дату Компанія переглядає оцінки кількості інструментів власного капіталу, права на які перейдуть працівникам. Якщо початкові оцінки переглядаються, вплив перегляду відображається в прибутку або збитку протягом строку переходу прав за інструментами власного капіталу в кореспонденції з рахунком резерву на виплати працівникам з розрахунками ін</w:t>
      </w:r>
      <w:r w:rsidR="00DF5D98">
        <w:rPr>
          <w:color w:val="000000" w:themeColor="text1"/>
          <w:szCs w:val="20"/>
        </w:rPr>
        <w:t xml:space="preserve">струментами власного капіталу. </w:t>
      </w:r>
    </w:p>
    <w:p w14:paraId="19F9AD7B"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Платежі на основі акцій з використанням інструментів власного капіталу особам, які не є працівниками, оцінюються за справедливою вартістю отриманих товарів і послуг, крім випадків, коли їх справедлива вартість не може бути надійно оцінена. У таких випадках платежі на основі акцій оцінюються за справедливою вартістю наданих інструментів власного капіталу, яка визначається на дату отримання підприємством товарів або надання послуг контрагентом.</w:t>
      </w:r>
    </w:p>
    <w:p w14:paraId="1A8119E2"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 xml:space="preserve">За платежами на основі акцій з використанням грошових коштів зобов'язання за придбані товари чи послуг визначається за справедливою вартістю. Доки зобов'язання не погашене, суб'єкт господарювання повинен переоцінювати справедливу вартість такого зобов'язання на кінець кожного звітного періоду та на дату погашення, визнаючи будь-які зміни справедливої вартості у складі прибутків або збитків за відповідний період. </w:t>
      </w:r>
    </w:p>
    <w:p w14:paraId="65CAB08A" w14:textId="77777777" w:rsidR="000C2A4B" w:rsidRPr="007B2730" w:rsidRDefault="000C2A4B" w:rsidP="001E31A0">
      <w:pPr>
        <w:pStyle w:val="3"/>
        <w:rPr>
          <w:color w:val="000000" w:themeColor="text1"/>
        </w:rPr>
      </w:pPr>
      <w:bookmarkStart w:id="49" w:name="_Ref497212022"/>
      <w:bookmarkStart w:id="50" w:name="_Toc501620040"/>
      <w:r w:rsidRPr="007B2730">
        <w:rPr>
          <w:color w:val="000000" w:themeColor="text1"/>
        </w:rPr>
        <w:lastRenderedPageBreak/>
        <w:t>Операції, платіж за якими здійснюється на основі акцій</w:t>
      </w:r>
      <w:bookmarkEnd w:id="49"/>
      <w:bookmarkEnd w:id="50"/>
    </w:p>
    <w:p w14:paraId="2BE39C3D"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Якщо права на виплати на основі акцій працівників придбаного дочірнього підприємства замінюються правами на платежі на основі акцій підприємств Компанії (надані на заміну платежі), то і платежі на основі акцій придбаного дочірнього підприємства, і надані на заміну платежі оцінюються згідно з МСФЗ (IFRS) 2 (тобто за ринковою ціною) на дату придбання. Частка наданих на заміну платежів, що враховується при оцінці переданої компенсації при об'єднанні бізнесу, дорівнює ринковій ціні наданих на заміну платежів на основі акцій придбаного дочірнього підприємства, помноженої на частку від ділення завершеної частини загального терміну переходу прав на довший з а) загального періоду переходу прав, б) первісного періоду набуття прав за платежами на основі акцій придбаного дочірнього підприємства. Перевищення ринкової ціни наданих на заміну платежів над ринковою ціною платежів на основі акцій придбаного дочірнього підприємства, яке враховується при оцінці переданої компенсації при об'єднанні бізнесу, визнається як оплата послуг, що надаються після об'єднання бізнесу.</w:t>
      </w:r>
    </w:p>
    <w:p w14:paraId="55ED9E89"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Якщо дія платежів на основі акцій придбаного дочірнього підприємства, припиняється у результаті об'єднання бізнесів, і Компанія замінює їх за відсутності у неї такого зобов'язання, надані на заміну платежі оцінюються за ринковою ціною відповідно до МСФЗ (IFRS) 2. Ринкова ціна наданих на заміну платежів цілком визнається як оплата послуг, наданих після об'єднання бізнесу.</w:t>
      </w:r>
    </w:p>
    <w:p w14:paraId="17E7C776" w14:textId="42A397CA" w:rsidR="00CE1740" w:rsidRPr="007B2730" w:rsidRDefault="000C2A4B" w:rsidP="000C2A4B">
      <w:pPr>
        <w:widowControl w:val="0"/>
        <w:spacing w:before="120" w:after="120"/>
        <w:rPr>
          <w:color w:val="000000" w:themeColor="text1"/>
          <w:szCs w:val="20"/>
        </w:rPr>
      </w:pPr>
      <w:r w:rsidRPr="007B2730">
        <w:rPr>
          <w:color w:val="000000" w:themeColor="text1"/>
          <w:szCs w:val="20"/>
        </w:rPr>
        <w:t xml:space="preserve">Якщо невиконані платежі на основі акцій з використанням інструментів власного капіталу придбаного дочірнього підприємства не замінюються Компанією на власні платежі на основі акцій, то платежі на основі акцій придбаного дочірнього підприємства оцінюються за ринковою ціною на дату придбання. Якщо права за платежами на основі акцій перейшли на дату придбання, то вони включаються в неконтрольовані частки придбаного дочірнього підприємства. Якщо права за платежами на основі акцій на дату придбання не перейшли, ринкова ціна платежів на основі акцій, права за якими не перейшли, і яка розподіляється на неконтрольовані частки придбаного дочірнього підприємства, розраховується як частка від ділення завершеної частини строку переходу прав на довший з: а) загального періоду переходу прав, б) первісного періоду набуття прав на платежі на основі акцій придбаного дочірнього підприємства. Інша частина визнається як оплата послуг, що надаються після об'єднання бізнесу. </w:t>
      </w:r>
    </w:p>
    <w:p w14:paraId="31DBBD9B" w14:textId="77777777" w:rsidR="000C2A4B" w:rsidRPr="007B2730" w:rsidRDefault="000C2A4B" w:rsidP="001E31A0">
      <w:pPr>
        <w:pStyle w:val="2"/>
        <w:rPr>
          <w:color w:val="000000" w:themeColor="text1"/>
        </w:rPr>
      </w:pPr>
      <w:bookmarkStart w:id="51" w:name="_Toc501620041"/>
      <w:r w:rsidRPr="007B2730">
        <w:rPr>
          <w:color w:val="000000" w:themeColor="text1"/>
        </w:rPr>
        <w:t>Податок на прибуток</w:t>
      </w:r>
      <w:bookmarkEnd w:id="51"/>
    </w:p>
    <w:p w14:paraId="56059E93"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Витрати з податку на прибуток включають поточний і відстрочений податок.</w:t>
      </w:r>
    </w:p>
    <w:p w14:paraId="30A1613E" w14:textId="77777777" w:rsidR="000C2A4B" w:rsidRPr="007B2730" w:rsidRDefault="000C2A4B" w:rsidP="001E31A0">
      <w:pPr>
        <w:pStyle w:val="3"/>
        <w:rPr>
          <w:color w:val="000000" w:themeColor="text1"/>
        </w:rPr>
      </w:pPr>
      <w:bookmarkStart w:id="52" w:name="_Toc501620042"/>
      <w:r w:rsidRPr="007B2730">
        <w:rPr>
          <w:color w:val="000000" w:themeColor="text1"/>
        </w:rPr>
        <w:t>Поточний податок</w:t>
      </w:r>
      <w:bookmarkEnd w:id="52"/>
    </w:p>
    <w:p w14:paraId="3A1C5A52"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Сума поточного податку визначається сумою оподатковуваного прибутку за рік. Оподатковуваний прибуток відрізняється від прибутку до податків зі звіту про Сукупний дохід за рахунок включення частини доходів і витрат в оподатковуваний прибуток інших років, а також виключення доходів (прибутків), які взагалі не підлягають оподаткуванню. Сума поточного податку на прибуток розраховується з використанням ставок, затверджених законодавством на звітну дату.</w:t>
      </w:r>
    </w:p>
    <w:p w14:paraId="6CC1CA9C" w14:textId="77777777" w:rsidR="000C2A4B" w:rsidRPr="007B2730" w:rsidRDefault="000C2A4B" w:rsidP="001E31A0">
      <w:pPr>
        <w:pStyle w:val="3"/>
        <w:rPr>
          <w:color w:val="000000" w:themeColor="text1"/>
        </w:rPr>
      </w:pPr>
      <w:bookmarkStart w:id="53" w:name="_Toc501620043"/>
      <w:r w:rsidRPr="007B2730">
        <w:rPr>
          <w:color w:val="000000" w:themeColor="text1"/>
        </w:rPr>
        <w:t>Відстрочений податок</w:t>
      </w:r>
      <w:bookmarkEnd w:id="53"/>
    </w:p>
    <w:p w14:paraId="6186C62B" w14:textId="77777777" w:rsidR="000C2A4B" w:rsidRPr="007B2730" w:rsidRDefault="000C2A4B" w:rsidP="000C2A4B">
      <w:pPr>
        <w:widowControl w:val="0"/>
        <w:spacing w:before="120" w:after="120"/>
        <w:rPr>
          <w:color w:val="000000" w:themeColor="text1"/>
          <w:szCs w:val="20"/>
        </w:rPr>
      </w:pPr>
      <w:r w:rsidRPr="007B2730">
        <w:rPr>
          <w:color w:val="000000" w:themeColor="text1"/>
          <w:szCs w:val="20"/>
        </w:rPr>
        <w:t>Відстрочений податок визнається стосовно різниць між балансовою вартістю активів і зобов’язань, відображених у звітності, і відповідними податковими базами, які використовуються при розрахунку оподатковуваного прибутку. Відстрочені податкові активи відображаються з урахуванням всіх тимчасових різниць, що вираховуються, при умові високої ймовірності достатності майбутнього оподаткованого прибутку для використання цих тимчасових різниць. Відстрочені податкові активи/відстрочені податкові зобов’язання не відображаються в звітності, якщо тимчасові різниці виникають внаслідок визнання інших активів і зобов’язань в межах угод (крім угод об’єднання бізнесів), які не впливають ні на оподаткований, ні на бухгалтерський прибуток. Крім цього, відстрочені податкові зобов’язання не відображаються у звітності, якщо тимчасові різниці виникають в результаті гудвілу.</w:t>
      </w:r>
    </w:p>
    <w:p w14:paraId="0A6D576F" w14:textId="77777777" w:rsidR="000C2A4B" w:rsidRPr="007B2730" w:rsidRDefault="000C2A4B" w:rsidP="001022BA">
      <w:pPr>
        <w:widowControl w:val="0"/>
        <w:spacing w:before="120" w:after="120"/>
        <w:rPr>
          <w:color w:val="000000" w:themeColor="text1"/>
          <w:szCs w:val="20"/>
        </w:rPr>
      </w:pPr>
      <w:r w:rsidRPr="007B2730">
        <w:rPr>
          <w:color w:val="000000" w:themeColor="text1"/>
          <w:szCs w:val="20"/>
        </w:rPr>
        <w:t>Відстрочені податкові зобов’язання відображаються з урахуванням оподатковуваних тимчасових різниць, які відносяться до дочірнього, асоційованого підприємства, а також спільної діяльності, за виключення випадків, коли Компанія може контролювати строки відновлення тимчасових різниць, і ця різниця з високою ймовірністю не буде повернена в найближчому майбутньому. Відстрочені податкові зобов’язання дочірнього, асоційованого підприємства і спільної діяльності визнаються при високій ймовірності отримання в майбутньому оподаткованого прибутку, достатнього для використання тимчасових різниць, що вираховуються, і очікування їх використання в найближчому майбутньому.</w:t>
      </w:r>
    </w:p>
    <w:p w14:paraId="1FC001D0" w14:textId="77777777" w:rsidR="000C2A4B" w:rsidRPr="007B2730" w:rsidRDefault="000C2A4B" w:rsidP="001022BA">
      <w:pPr>
        <w:widowControl w:val="0"/>
        <w:spacing w:before="120" w:after="120"/>
        <w:rPr>
          <w:color w:val="000000" w:themeColor="text1"/>
          <w:szCs w:val="20"/>
        </w:rPr>
      </w:pPr>
      <w:r w:rsidRPr="007B2730">
        <w:rPr>
          <w:color w:val="000000" w:themeColor="text1"/>
          <w:szCs w:val="20"/>
        </w:rPr>
        <w:t xml:space="preserve">Балансова вартість відстрочених податкових активів переглядається на кожну звітну дату і знижується </w:t>
      </w:r>
      <w:r w:rsidRPr="007B2730">
        <w:rPr>
          <w:color w:val="000000" w:themeColor="text1"/>
          <w:szCs w:val="20"/>
        </w:rPr>
        <w:lastRenderedPageBreak/>
        <w:t xml:space="preserve">у тій мірі, у якій відсутня ймовірність одержання достатнього оподатковуваного прибутку, який дозволить відшкодувати повністю або частково суму цього активу. </w:t>
      </w:r>
    </w:p>
    <w:p w14:paraId="24123CCA" w14:textId="77777777" w:rsidR="000C2A4B" w:rsidRPr="007B2730" w:rsidRDefault="000C2A4B" w:rsidP="001022BA">
      <w:pPr>
        <w:widowControl w:val="0"/>
        <w:spacing w:before="120" w:after="120"/>
        <w:rPr>
          <w:color w:val="000000" w:themeColor="text1"/>
          <w:szCs w:val="20"/>
        </w:rPr>
      </w:pPr>
      <w:r w:rsidRPr="007B2730">
        <w:rPr>
          <w:color w:val="000000" w:themeColor="text1"/>
          <w:szCs w:val="20"/>
        </w:rPr>
        <w:t>Відстрочені податкові активи/відстрочені податкові зобов’язання розраховуються за податковими ставками (а також положеннями податкового законодавства), затвердженими або практично затвердженими законодавчо на звітну дату, які, як передбачається, будуть діяти в період реалізації відстрочених податкових активів/відстрочених податкових зобов'язань. Оцінка відстрочених податкових активів/відстрочених податкових зобов'язань відображає податкові наслідки намірів Компанії з відшкодування або погашення балансової вартості активів і зобов'язань на звітну дату.</w:t>
      </w:r>
    </w:p>
    <w:p w14:paraId="6AB2DC02" w14:textId="2F55E8DD" w:rsidR="000C2A4B" w:rsidRPr="003C29E0" w:rsidRDefault="000C2A4B" w:rsidP="001022BA">
      <w:pPr>
        <w:widowControl w:val="0"/>
        <w:spacing w:before="120" w:after="120"/>
        <w:rPr>
          <w:color w:val="000000" w:themeColor="text1"/>
          <w:szCs w:val="20"/>
        </w:rPr>
      </w:pPr>
      <w:r w:rsidRPr="007B2730">
        <w:rPr>
          <w:color w:val="000000" w:themeColor="text1"/>
          <w:szCs w:val="20"/>
        </w:rPr>
        <w:t xml:space="preserve">Для розрахунку відстрочених податкових активів/відстрочених податкових зобов'язань інвестиційної нерухомості, що оцінюється за справедливою вартістю, автоматично презюмується, що балансова вартість інвестиційної нерухомості буде відшкодована за рахунок продажу. Ця презумпція може бути спростована для амортизованої інвестиційної нерухомості, утримуваної в межах бізнес-моделі, яка передбачає відшкодування балансової вартості шляхом використання інвестиційної нерухомості в звичайній </w:t>
      </w:r>
      <w:r w:rsidRPr="003C29E0">
        <w:rPr>
          <w:color w:val="000000" w:themeColor="text1"/>
          <w:szCs w:val="20"/>
        </w:rPr>
        <w:t xml:space="preserve">діяльності, а не при продажу. </w:t>
      </w:r>
    </w:p>
    <w:p w14:paraId="6AAF35A1" w14:textId="77777777" w:rsidR="000C2A4B" w:rsidRPr="003C29E0" w:rsidRDefault="000C2A4B" w:rsidP="001022BA">
      <w:pPr>
        <w:pStyle w:val="3"/>
        <w:rPr>
          <w:color w:val="000000" w:themeColor="text1"/>
        </w:rPr>
      </w:pPr>
      <w:r w:rsidRPr="003C29E0">
        <w:rPr>
          <w:color w:val="000000" w:themeColor="text1"/>
        </w:rPr>
        <w:t xml:space="preserve"> </w:t>
      </w:r>
      <w:bookmarkStart w:id="54" w:name="_Toc501620044"/>
      <w:r w:rsidRPr="003C29E0">
        <w:rPr>
          <w:color w:val="000000" w:themeColor="text1"/>
        </w:rPr>
        <w:t>Поточний та відстрочений податок за рік</w:t>
      </w:r>
      <w:bookmarkEnd w:id="54"/>
      <w:r w:rsidRPr="003C29E0">
        <w:rPr>
          <w:color w:val="000000" w:themeColor="text1"/>
        </w:rPr>
        <w:t xml:space="preserve"> </w:t>
      </w:r>
    </w:p>
    <w:p w14:paraId="5EA959D2" w14:textId="0B03628F" w:rsidR="000C2A4B" w:rsidRPr="003C29E0" w:rsidRDefault="000C2A4B" w:rsidP="001022BA">
      <w:pPr>
        <w:widowControl w:val="0"/>
        <w:spacing w:before="120" w:after="120"/>
        <w:rPr>
          <w:color w:val="000000" w:themeColor="text1"/>
          <w:szCs w:val="20"/>
        </w:rPr>
      </w:pPr>
      <w:r w:rsidRPr="003C29E0">
        <w:rPr>
          <w:color w:val="000000" w:themeColor="text1"/>
          <w:szCs w:val="20"/>
        </w:rPr>
        <w:t>Поточні і відстрочені податки визнаються як витрати або доходи у складі прибутку або збитку, якщо тільки вони не відносяться до статей, відображених в іншому сукупному доході або власному капіталі. У цьому випадку поточні і відстрочені податки також визнаються в іншому сукупному доході або у власному капіталі. Поточні і відстрочені податки, які виникли внаслідок угод об’єднання бізнесів, враховуються при відображенні цих угод у звітності</w:t>
      </w:r>
    </w:p>
    <w:p w14:paraId="1BE8C578" w14:textId="77777777" w:rsidR="002929E7" w:rsidRPr="003C29E0" w:rsidRDefault="002929E7" w:rsidP="001022BA">
      <w:pPr>
        <w:widowControl w:val="0"/>
        <w:spacing w:before="120" w:after="120"/>
        <w:rPr>
          <w:color w:val="000000" w:themeColor="text1"/>
          <w:szCs w:val="20"/>
        </w:rPr>
      </w:pPr>
    </w:p>
    <w:p w14:paraId="21E7C28E" w14:textId="77777777" w:rsidR="000C2A4B" w:rsidRPr="003C29E0" w:rsidRDefault="000C2A4B" w:rsidP="001022BA">
      <w:pPr>
        <w:pStyle w:val="2"/>
        <w:rPr>
          <w:color w:val="000000" w:themeColor="text1"/>
        </w:rPr>
      </w:pPr>
      <w:bookmarkStart w:id="55" w:name="_Ref497204326"/>
      <w:bookmarkStart w:id="56" w:name="_Toc501620045"/>
      <w:r w:rsidRPr="003C29E0">
        <w:rPr>
          <w:color w:val="000000" w:themeColor="text1"/>
        </w:rPr>
        <w:t>Основні засоби</w:t>
      </w:r>
      <w:bookmarkEnd w:id="55"/>
      <w:bookmarkEnd w:id="56"/>
    </w:p>
    <w:p w14:paraId="08C44B14" w14:textId="77777777" w:rsidR="00066188" w:rsidRDefault="00066188" w:rsidP="00066188">
      <w:pPr>
        <w:widowControl w:val="0"/>
        <w:spacing w:before="120" w:after="120"/>
        <w:rPr>
          <w:szCs w:val="20"/>
        </w:rPr>
      </w:pPr>
      <w:bookmarkStart w:id="57" w:name="_Toc501620046"/>
      <w:r w:rsidRPr="005E433F">
        <w:rPr>
          <w:szCs w:val="20"/>
        </w:rPr>
        <w:t xml:space="preserve">Земля та будівлі, призначені для використання у виробництві продукції, виконанні робіт, наданні послуг, для управлінських потреб, відображаються у звіті про фінансовий стан за </w:t>
      </w:r>
      <w:r>
        <w:rPr>
          <w:szCs w:val="20"/>
        </w:rPr>
        <w:t>історичною</w:t>
      </w:r>
      <w:r w:rsidRPr="005E433F">
        <w:rPr>
          <w:szCs w:val="20"/>
        </w:rPr>
        <w:t xml:space="preserve"> вартістю</w:t>
      </w:r>
      <w:r>
        <w:rPr>
          <w:szCs w:val="20"/>
        </w:rPr>
        <w:t>.</w:t>
      </w:r>
    </w:p>
    <w:p w14:paraId="6D80E680" w14:textId="77777777" w:rsidR="00066188" w:rsidRPr="005E433F" w:rsidRDefault="00066188" w:rsidP="00066188">
      <w:pPr>
        <w:widowControl w:val="0"/>
        <w:spacing w:before="120" w:after="120"/>
        <w:rPr>
          <w:szCs w:val="20"/>
        </w:rPr>
      </w:pPr>
      <w:r w:rsidRPr="005E433F">
        <w:rPr>
          <w:szCs w:val="20"/>
        </w:rPr>
        <w:t xml:space="preserve">Об'єкти незавершеного будівництва, </w:t>
      </w:r>
      <w:r>
        <w:rPr>
          <w:szCs w:val="20"/>
        </w:rPr>
        <w:t xml:space="preserve">які в </w:t>
      </w:r>
      <w:r w:rsidRPr="005E433F">
        <w:rPr>
          <w:szCs w:val="20"/>
        </w:rPr>
        <w:t xml:space="preserve"> подальшо</w:t>
      </w:r>
      <w:r>
        <w:rPr>
          <w:szCs w:val="20"/>
        </w:rPr>
        <w:t>му</w:t>
      </w:r>
      <w:r w:rsidRPr="005E433F">
        <w:rPr>
          <w:szCs w:val="20"/>
        </w:rPr>
        <w:t xml:space="preserve"> </w:t>
      </w:r>
      <w:r>
        <w:rPr>
          <w:szCs w:val="20"/>
        </w:rPr>
        <w:t xml:space="preserve">використовуються </w:t>
      </w:r>
      <w:r w:rsidRPr="005E433F">
        <w:rPr>
          <w:szCs w:val="20"/>
        </w:rPr>
        <w:t>у виробничих або адміністративних цілях, враховуються за вартістю будівництва за вирахуванням будь-яких визнаних збитків від зменшення корисності. Вартість будівництва включає вартість професійних послуг, а також для кваліфікованих активів витрати на позики, що капіталізуються у відповідності до облікової політики Компанії. Такі об'єкти основних засобів відносяться до відповідних категорій основних засобів на момент завершення будівництва або готовності до цільового використання. Нарахування амортизації за цими активами, так, як і за іншими об'єктами нерухомості, починається з моменту готовності активів до використання</w:t>
      </w:r>
      <w:r>
        <w:rPr>
          <w:szCs w:val="20"/>
        </w:rPr>
        <w:t xml:space="preserve"> за призначенням</w:t>
      </w:r>
    </w:p>
    <w:p w14:paraId="0517AB19" w14:textId="77777777" w:rsidR="00066188" w:rsidRPr="005E433F" w:rsidRDefault="00066188" w:rsidP="00066188">
      <w:pPr>
        <w:pStyle w:val="HTML"/>
        <w:jc w:val="both"/>
        <w:rPr>
          <w:rFonts w:ascii="Arial" w:hAnsi="Arial" w:cs="Arial"/>
          <w:color w:val="212121"/>
          <w:lang w:val="uk-UA"/>
        </w:rPr>
      </w:pPr>
      <w:r w:rsidRPr="005E433F">
        <w:rPr>
          <w:rFonts w:ascii="Arial" w:hAnsi="Arial" w:cs="Arial"/>
          <w:lang w:val="uk-UA"/>
        </w:rPr>
        <w:t xml:space="preserve">Амортизація основних засобів призначена для списання вартості активів, крім землі та незавершених об’єктів нерухомості, протягом очікуваного строку їх корисного використання з застосуванням прямолінійного методу. </w:t>
      </w:r>
      <w:r w:rsidRPr="005E433F">
        <w:rPr>
          <w:rFonts w:ascii="Arial" w:hAnsi="Arial" w:cs="Arial"/>
          <w:color w:val="212121"/>
          <w:lang w:val="uk-UA"/>
        </w:rPr>
        <w:t xml:space="preserve">Передбачуваний термін корисного використання, ліквідаційна вартість і метод амортизації переглядаються </w:t>
      </w:r>
      <w:r>
        <w:rPr>
          <w:rFonts w:ascii="Arial" w:hAnsi="Arial" w:cs="Arial"/>
          <w:color w:val="212121"/>
          <w:lang w:val="uk-UA"/>
        </w:rPr>
        <w:t xml:space="preserve">при потребі </w:t>
      </w:r>
      <w:r w:rsidRPr="005E433F">
        <w:rPr>
          <w:rFonts w:ascii="Arial" w:hAnsi="Arial" w:cs="Arial"/>
          <w:color w:val="212121"/>
          <w:lang w:val="uk-UA"/>
        </w:rPr>
        <w:t xml:space="preserve">; при цьому вплив будь-яких змін оцінки визнається в періоді такої зміни. </w:t>
      </w:r>
    </w:p>
    <w:p w14:paraId="0CF59CA9" w14:textId="77777777" w:rsidR="00E01DC6" w:rsidRDefault="00E01DC6" w:rsidP="00E01DC6">
      <w:pPr>
        <w:widowControl w:val="0"/>
        <w:spacing w:before="120" w:after="240"/>
        <w:rPr>
          <w:color w:val="000000" w:themeColor="text1"/>
          <w:szCs w:val="20"/>
        </w:rPr>
      </w:pPr>
      <w:r w:rsidRPr="00D5133E">
        <w:rPr>
          <w:color w:val="000000" w:themeColor="text1"/>
          <w:szCs w:val="20"/>
        </w:rPr>
        <w:t>Амортизація основних засобів розраховується лінійним методом з метою рівномірного віднесення їх первісної вартості на ліквідаційну вартість протягом розрахованого строку їх корисної служби.</w:t>
      </w:r>
    </w:p>
    <w:p w14:paraId="7F30A323" w14:textId="77777777" w:rsidR="003C29E0" w:rsidRDefault="003C29E0" w:rsidP="001022BA">
      <w:pPr>
        <w:widowControl w:val="0"/>
        <w:spacing w:before="120" w:after="120"/>
        <w:rPr>
          <w:szCs w:val="20"/>
        </w:rPr>
      </w:pPr>
      <w:r w:rsidRPr="005E433F">
        <w:rPr>
          <w:szCs w:val="20"/>
        </w:rPr>
        <w:t>Очікуваний строк корисного використання відповідних активів становить:</w:t>
      </w:r>
    </w:p>
    <w:tbl>
      <w:tblPr>
        <w:tblW w:w="9649" w:type="dxa"/>
        <w:tblLayout w:type="fixed"/>
        <w:tblCellMar>
          <w:left w:w="10" w:type="dxa"/>
          <w:right w:w="10" w:type="dxa"/>
        </w:tblCellMar>
        <w:tblLook w:val="0000" w:firstRow="0" w:lastRow="0" w:firstColumn="0" w:lastColumn="0" w:noHBand="0" w:noVBand="0"/>
      </w:tblPr>
      <w:tblGrid>
        <w:gridCol w:w="4972"/>
        <w:gridCol w:w="4677"/>
      </w:tblGrid>
      <w:tr w:rsidR="003C29E0" w:rsidRPr="005E433F" w14:paraId="17697AF8" w14:textId="77777777" w:rsidTr="001A5B85">
        <w:trPr>
          <w:trHeight w:val="322"/>
          <w:tblHeader/>
        </w:trPr>
        <w:tc>
          <w:tcPr>
            <w:tcW w:w="4972" w:type="dxa"/>
            <w:tcBorders>
              <w:bottom w:val="single" w:sz="4" w:space="0" w:color="auto"/>
            </w:tcBorders>
            <w:shd w:val="clear" w:color="auto" w:fill="FFFFFF"/>
            <w:vAlign w:val="bottom"/>
          </w:tcPr>
          <w:p w14:paraId="07EF7BB1" w14:textId="77777777" w:rsidR="003C29E0" w:rsidRPr="005E433F" w:rsidRDefault="003C29E0" w:rsidP="001022BA">
            <w:pPr>
              <w:pStyle w:val="Bodytext190"/>
              <w:shd w:val="clear" w:color="auto" w:fill="auto"/>
              <w:suppressAutoHyphens/>
              <w:spacing w:before="0" w:after="0" w:line="240" w:lineRule="auto"/>
              <w:ind w:firstLine="0"/>
              <w:rPr>
                <w:rFonts w:ascii="Arial" w:hAnsi="Arial" w:cs="Arial"/>
                <w:b/>
                <w:lang w:val="uk-UA"/>
              </w:rPr>
            </w:pPr>
            <w:r w:rsidRPr="005E433F">
              <w:rPr>
                <w:rFonts w:ascii="Arial" w:hAnsi="Arial" w:cs="Arial"/>
                <w:b/>
                <w:lang w:val="uk-UA"/>
              </w:rPr>
              <w:t>Група основних засобів</w:t>
            </w:r>
          </w:p>
        </w:tc>
        <w:tc>
          <w:tcPr>
            <w:tcW w:w="4677" w:type="dxa"/>
            <w:tcBorders>
              <w:bottom w:val="single" w:sz="4" w:space="0" w:color="auto"/>
            </w:tcBorders>
            <w:shd w:val="clear" w:color="auto" w:fill="FFFFFF"/>
            <w:vAlign w:val="bottom"/>
          </w:tcPr>
          <w:p w14:paraId="0968E017" w14:textId="77777777" w:rsidR="003C29E0" w:rsidRPr="005E433F" w:rsidRDefault="003C29E0" w:rsidP="001022BA">
            <w:pPr>
              <w:pStyle w:val="Heading460"/>
              <w:shd w:val="clear" w:color="auto" w:fill="auto"/>
              <w:tabs>
                <w:tab w:val="left" w:pos="6486"/>
              </w:tabs>
              <w:suppressAutoHyphens/>
              <w:spacing w:line="240" w:lineRule="auto"/>
              <w:ind w:firstLine="0"/>
              <w:jc w:val="center"/>
              <w:rPr>
                <w:rFonts w:ascii="Arial" w:hAnsi="Arial" w:cs="Arial"/>
                <w:b/>
                <w:lang w:val="uk-UA"/>
              </w:rPr>
            </w:pPr>
            <w:r w:rsidRPr="005E433F">
              <w:rPr>
                <w:rFonts w:ascii="Arial" w:hAnsi="Arial" w:cs="Arial"/>
                <w:b/>
                <w:lang w:val="uk-UA"/>
              </w:rPr>
              <w:t>Строк корисного використання</w:t>
            </w:r>
          </w:p>
        </w:tc>
      </w:tr>
      <w:tr w:rsidR="003C29E0" w:rsidRPr="005E433F" w14:paraId="2820D35C" w14:textId="77777777" w:rsidTr="001A5B85">
        <w:trPr>
          <w:trHeight w:val="205"/>
        </w:trPr>
        <w:tc>
          <w:tcPr>
            <w:tcW w:w="4972" w:type="dxa"/>
            <w:tcBorders>
              <w:top w:val="single" w:sz="4" w:space="0" w:color="auto"/>
            </w:tcBorders>
            <w:shd w:val="clear" w:color="auto" w:fill="FFFFFF"/>
          </w:tcPr>
          <w:p w14:paraId="449F40CE" w14:textId="77777777" w:rsidR="003C29E0" w:rsidRPr="005E433F" w:rsidRDefault="003C29E0" w:rsidP="001022BA">
            <w:pPr>
              <w:pStyle w:val="0"/>
              <w:rPr>
                <w:color w:val="auto"/>
                <w:szCs w:val="20"/>
                <w:lang w:val="uk-UA"/>
              </w:rPr>
            </w:pPr>
            <w:r>
              <w:rPr>
                <w:color w:val="auto"/>
                <w:szCs w:val="20"/>
                <w:lang w:val="uk-UA"/>
              </w:rPr>
              <w:t>Будівлі</w:t>
            </w:r>
          </w:p>
        </w:tc>
        <w:tc>
          <w:tcPr>
            <w:tcW w:w="4677" w:type="dxa"/>
            <w:tcBorders>
              <w:top w:val="single" w:sz="4" w:space="0" w:color="auto"/>
            </w:tcBorders>
            <w:shd w:val="clear" w:color="auto" w:fill="FFFFFF"/>
            <w:vAlign w:val="bottom"/>
          </w:tcPr>
          <w:p w14:paraId="2C85E7F8" w14:textId="77777777" w:rsidR="003C29E0" w:rsidRPr="005E433F" w:rsidRDefault="003C29E0" w:rsidP="001022BA">
            <w:pPr>
              <w:pStyle w:val="0"/>
              <w:jc w:val="center"/>
              <w:rPr>
                <w:color w:val="auto"/>
                <w:szCs w:val="20"/>
                <w:lang w:val="uk-UA"/>
              </w:rPr>
            </w:pPr>
            <w:r>
              <w:rPr>
                <w:color w:val="auto"/>
              </w:rPr>
              <w:t>20-30</w:t>
            </w:r>
          </w:p>
        </w:tc>
      </w:tr>
      <w:tr w:rsidR="003C29E0" w:rsidRPr="005E433F" w14:paraId="3EC653A7" w14:textId="77777777" w:rsidTr="001A5B85">
        <w:trPr>
          <w:trHeight w:val="205"/>
        </w:trPr>
        <w:tc>
          <w:tcPr>
            <w:tcW w:w="4972" w:type="dxa"/>
            <w:shd w:val="clear" w:color="auto" w:fill="FFFFFF"/>
          </w:tcPr>
          <w:p w14:paraId="0E594817" w14:textId="77777777" w:rsidR="003C29E0" w:rsidRPr="005E433F" w:rsidRDefault="003C29E0" w:rsidP="001022BA">
            <w:pPr>
              <w:pStyle w:val="0"/>
              <w:rPr>
                <w:color w:val="auto"/>
                <w:szCs w:val="20"/>
                <w:lang w:val="uk-UA"/>
              </w:rPr>
            </w:pPr>
            <w:r w:rsidRPr="005E433F">
              <w:rPr>
                <w:color w:val="auto"/>
                <w:szCs w:val="20"/>
                <w:lang w:val="uk-UA"/>
              </w:rPr>
              <w:t>Споруди</w:t>
            </w:r>
          </w:p>
        </w:tc>
        <w:tc>
          <w:tcPr>
            <w:tcW w:w="4677" w:type="dxa"/>
            <w:shd w:val="clear" w:color="auto" w:fill="FFFFFF"/>
            <w:vAlign w:val="bottom"/>
          </w:tcPr>
          <w:p w14:paraId="122F61C4" w14:textId="77777777" w:rsidR="003C29E0" w:rsidRPr="005E433F" w:rsidRDefault="003C29E0" w:rsidP="001022BA">
            <w:pPr>
              <w:pStyle w:val="0"/>
              <w:jc w:val="center"/>
              <w:rPr>
                <w:color w:val="auto"/>
                <w:szCs w:val="20"/>
                <w:lang w:val="uk-UA"/>
              </w:rPr>
            </w:pPr>
            <w:r>
              <w:rPr>
                <w:color w:val="auto"/>
                <w:szCs w:val="20"/>
                <w:lang w:val="uk-UA"/>
              </w:rPr>
              <w:t>15-20</w:t>
            </w:r>
          </w:p>
        </w:tc>
      </w:tr>
      <w:tr w:rsidR="003C29E0" w:rsidRPr="005E433F" w14:paraId="018354C0" w14:textId="77777777" w:rsidTr="001A5B85">
        <w:trPr>
          <w:trHeight w:val="205"/>
        </w:trPr>
        <w:tc>
          <w:tcPr>
            <w:tcW w:w="4972" w:type="dxa"/>
            <w:shd w:val="clear" w:color="auto" w:fill="FFFFFF"/>
          </w:tcPr>
          <w:p w14:paraId="5983F107" w14:textId="77777777" w:rsidR="003C29E0" w:rsidRPr="005E433F" w:rsidRDefault="003C29E0" w:rsidP="001022BA">
            <w:pPr>
              <w:pStyle w:val="0"/>
              <w:rPr>
                <w:color w:val="auto"/>
                <w:szCs w:val="20"/>
                <w:lang w:val="uk-UA"/>
              </w:rPr>
            </w:pPr>
            <w:r>
              <w:rPr>
                <w:color w:val="auto"/>
                <w:szCs w:val="20"/>
                <w:lang w:val="uk-UA"/>
              </w:rPr>
              <w:t>Передавальні пристрої</w:t>
            </w:r>
          </w:p>
        </w:tc>
        <w:tc>
          <w:tcPr>
            <w:tcW w:w="4677" w:type="dxa"/>
            <w:shd w:val="clear" w:color="auto" w:fill="FFFFFF"/>
            <w:vAlign w:val="bottom"/>
          </w:tcPr>
          <w:p w14:paraId="35C27EB2" w14:textId="77777777" w:rsidR="003C29E0" w:rsidRDefault="003C29E0" w:rsidP="001022BA">
            <w:pPr>
              <w:pStyle w:val="0"/>
              <w:jc w:val="center"/>
              <w:rPr>
                <w:color w:val="auto"/>
                <w:szCs w:val="20"/>
                <w:lang w:val="uk-UA"/>
              </w:rPr>
            </w:pPr>
            <w:r>
              <w:rPr>
                <w:color w:val="auto"/>
                <w:szCs w:val="20"/>
                <w:lang w:val="uk-UA"/>
              </w:rPr>
              <w:t>10-12</w:t>
            </w:r>
          </w:p>
        </w:tc>
      </w:tr>
      <w:tr w:rsidR="003C29E0" w:rsidRPr="005E433F" w14:paraId="76A003EC" w14:textId="77777777" w:rsidTr="001A5B85">
        <w:trPr>
          <w:trHeight w:val="251"/>
        </w:trPr>
        <w:tc>
          <w:tcPr>
            <w:tcW w:w="4972" w:type="dxa"/>
            <w:shd w:val="clear" w:color="auto" w:fill="FFFFFF"/>
          </w:tcPr>
          <w:p w14:paraId="2656F450" w14:textId="77777777" w:rsidR="003C29E0" w:rsidRPr="005E433F" w:rsidRDefault="003C29E0" w:rsidP="001022BA">
            <w:pPr>
              <w:pStyle w:val="0"/>
              <w:rPr>
                <w:color w:val="auto"/>
                <w:szCs w:val="20"/>
                <w:lang w:val="uk-UA"/>
              </w:rPr>
            </w:pPr>
            <w:r w:rsidRPr="005E433F">
              <w:rPr>
                <w:color w:val="auto"/>
                <w:szCs w:val="20"/>
                <w:lang w:val="uk-UA"/>
              </w:rPr>
              <w:t>Машини, обладнання</w:t>
            </w:r>
          </w:p>
        </w:tc>
        <w:tc>
          <w:tcPr>
            <w:tcW w:w="4677" w:type="dxa"/>
            <w:shd w:val="clear" w:color="auto" w:fill="FFFFFF"/>
            <w:vAlign w:val="bottom"/>
          </w:tcPr>
          <w:p w14:paraId="70E75B21" w14:textId="77777777" w:rsidR="003C29E0" w:rsidRPr="005E433F" w:rsidRDefault="003C29E0" w:rsidP="001022BA">
            <w:pPr>
              <w:pStyle w:val="0"/>
              <w:jc w:val="center"/>
              <w:rPr>
                <w:color w:val="auto"/>
                <w:szCs w:val="20"/>
                <w:lang w:val="uk-UA"/>
              </w:rPr>
            </w:pPr>
            <w:r>
              <w:rPr>
                <w:color w:val="auto"/>
                <w:szCs w:val="20"/>
                <w:lang w:val="uk-UA"/>
              </w:rPr>
              <w:t>5-10</w:t>
            </w:r>
          </w:p>
        </w:tc>
      </w:tr>
      <w:tr w:rsidR="003C29E0" w:rsidRPr="005E433F" w14:paraId="5F260DD9" w14:textId="77777777" w:rsidTr="001A5B85">
        <w:trPr>
          <w:trHeight w:val="251"/>
        </w:trPr>
        <w:tc>
          <w:tcPr>
            <w:tcW w:w="4972" w:type="dxa"/>
            <w:shd w:val="clear" w:color="auto" w:fill="FFFFFF"/>
          </w:tcPr>
          <w:p w14:paraId="73C371C9" w14:textId="77777777" w:rsidR="003C29E0" w:rsidRPr="005E433F" w:rsidRDefault="003C29E0" w:rsidP="001022BA">
            <w:pPr>
              <w:pStyle w:val="0"/>
              <w:rPr>
                <w:color w:val="auto"/>
                <w:szCs w:val="20"/>
                <w:lang w:val="uk-UA"/>
              </w:rPr>
            </w:pPr>
            <w:r w:rsidRPr="005E433F">
              <w:rPr>
                <w:color w:val="auto"/>
                <w:szCs w:val="20"/>
                <w:lang w:val="uk-UA"/>
              </w:rPr>
              <w:t>Транспортні засоби</w:t>
            </w:r>
          </w:p>
        </w:tc>
        <w:tc>
          <w:tcPr>
            <w:tcW w:w="4677" w:type="dxa"/>
            <w:shd w:val="clear" w:color="auto" w:fill="FFFFFF"/>
            <w:vAlign w:val="bottom"/>
          </w:tcPr>
          <w:p w14:paraId="2BF1325E" w14:textId="77777777" w:rsidR="003C29E0" w:rsidRPr="005E433F" w:rsidRDefault="003C29E0" w:rsidP="001022BA">
            <w:pPr>
              <w:pStyle w:val="0"/>
              <w:jc w:val="center"/>
              <w:rPr>
                <w:color w:val="auto"/>
                <w:szCs w:val="20"/>
                <w:lang w:val="uk-UA"/>
              </w:rPr>
            </w:pPr>
            <w:r>
              <w:rPr>
                <w:color w:val="auto"/>
                <w:szCs w:val="20"/>
                <w:lang w:val="uk-UA"/>
              </w:rPr>
              <w:t>5-7</w:t>
            </w:r>
          </w:p>
        </w:tc>
      </w:tr>
      <w:tr w:rsidR="003C29E0" w:rsidRPr="005E433F" w14:paraId="2775A4B2" w14:textId="77777777" w:rsidTr="001A5B85">
        <w:trPr>
          <w:trHeight w:val="251"/>
        </w:trPr>
        <w:tc>
          <w:tcPr>
            <w:tcW w:w="4972" w:type="dxa"/>
            <w:shd w:val="clear" w:color="auto" w:fill="FFFFFF"/>
          </w:tcPr>
          <w:p w14:paraId="51EE2588" w14:textId="77777777" w:rsidR="003C29E0" w:rsidRPr="005E433F" w:rsidRDefault="003C29E0" w:rsidP="001022BA">
            <w:pPr>
              <w:pStyle w:val="0"/>
              <w:rPr>
                <w:color w:val="auto"/>
                <w:szCs w:val="20"/>
                <w:lang w:val="uk-UA"/>
              </w:rPr>
            </w:pPr>
            <w:r w:rsidRPr="005E433F">
              <w:rPr>
                <w:color w:val="auto"/>
                <w:szCs w:val="20"/>
                <w:lang w:val="uk-UA"/>
              </w:rPr>
              <w:t>Офісне обладнання та інвентар</w:t>
            </w:r>
          </w:p>
        </w:tc>
        <w:tc>
          <w:tcPr>
            <w:tcW w:w="4677" w:type="dxa"/>
            <w:shd w:val="clear" w:color="auto" w:fill="FFFFFF"/>
            <w:vAlign w:val="bottom"/>
          </w:tcPr>
          <w:p w14:paraId="3822BB3B" w14:textId="77777777" w:rsidR="003C29E0" w:rsidRPr="005E433F" w:rsidRDefault="003C29E0" w:rsidP="001022BA">
            <w:pPr>
              <w:pStyle w:val="0"/>
              <w:jc w:val="center"/>
              <w:rPr>
                <w:color w:val="auto"/>
                <w:szCs w:val="20"/>
                <w:lang w:val="uk-UA"/>
              </w:rPr>
            </w:pPr>
            <w:r>
              <w:rPr>
                <w:color w:val="auto"/>
                <w:szCs w:val="20"/>
                <w:lang w:val="uk-UA"/>
              </w:rPr>
              <w:t>3-6</w:t>
            </w:r>
          </w:p>
        </w:tc>
      </w:tr>
      <w:tr w:rsidR="003C29E0" w:rsidRPr="005E433F" w14:paraId="24F888EF" w14:textId="77777777" w:rsidTr="001A5B85">
        <w:trPr>
          <w:trHeight w:val="247"/>
        </w:trPr>
        <w:tc>
          <w:tcPr>
            <w:tcW w:w="4972" w:type="dxa"/>
            <w:tcBorders>
              <w:bottom w:val="single" w:sz="4" w:space="0" w:color="auto"/>
            </w:tcBorders>
            <w:shd w:val="clear" w:color="auto" w:fill="FFFFFF"/>
          </w:tcPr>
          <w:p w14:paraId="673C0778" w14:textId="77777777" w:rsidR="003C29E0" w:rsidRPr="005E433F" w:rsidRDefault="003C29E0" w:rsidP="001A5B85">
            <w:pPr>
              <w:pStyle w:val="0"/>
              <w:rPr>
                <w:color w:val="auto"/>
                <w:szCs w:val="20"/>
                <w:lang w:val="uk-UA"/>
              </w:rPr>
            </w:pPr>
            <w:r w:rsidRPr="005E433F">
              <w:rPr>
                <w:color w:val="auto"/>
                <w:szCs w:val="20"/>
                <w:lang w:val="uk-UA"/>
              </w:rPr>
              <w:t>Інші</w:t>
            </w:r>
          </w:p>
        </w:tc>
        <w:tc>
          <w:tcPr>
            <w:tcW w:w="4677" w:type="dxa"/>
            <w:tcBorders>
              <w:bottom w:val="single" w:sz="4" w:space="0" w:color="auto"/>
            </w:tcBorders>
            <w:shd w:val="clear" w:color="auto" w:fill="FFFFFF"/>
            <w:vAlign w:val="bottom"/>
          </w:tcPr>
          <w:p w14:paraId="04F77963" w14:textId="77777777" w:rsidR="003C29E0" w:rsidRPr="005E433F" w:rsidRDefault="003C29E0" w:rsidP="003C29E0">
            <w:pPr>
              <w:pStyle w:val="0"/>
              <w:jc w:val="center"/>
              <w:rPr>
                <w:color w:val="auto"/>
                <w:szCs w:val="20"/>
                <w:lang w:val="uk-UA"/>
              </w:rPr>
            </w:pPr>
            <w:r w:rsidRPr="005E433F">
              <w:rPr>
                <w:color w:val="auto"/>
                <w:szCs w:val="20"/>
                <w:lang w:val="uk-UA"/>
              </w:rPr>
              <w:t>10</w:t>
            </w:r>
          </w:p>
        </w:tc>
      </w:tr>
    </w:tbl>
    <w:p w14:paraId="6DA9F49D" w14:textId="32F520CF" w:rsidR="003C29E0" w:rsidRPr="003C29E0" w:rsidRDefault="003C29E0" w:rsidP="003C29E0">
      <w:pPr>
        <w:widowControl w:val="0"/>
        <w:spacing w:before="120" w:after="120"/>
        <w:rPr>
          <w:color w:val="000000" w:themeColor="text1"/>
          <w:szCs w:val="20"/>
        </w:rPr>
      </w:pPr>
      <w:r w:rsidRPr="005E433F">
        <w:rPr>
          <w:szCs w:val="20"/>
        </w:rPr>
        <w:t xml:space="preserve">Активи, отримані за угодами фінансової оренди, амортизуються протягом очікуваного строку корисної експлуатації в тому ж порядку, що і активи, які знаходяться у власності Компанії. Однак при відсутності </w:t>
      </w:r>
      <w:r w:rsidRPr="005E433F">
        <w:rPr>
          <w:szCs w:val="20"/>
        </w:rPr>
        <w:lastRenderedPageBreak/>
        <w:t xml:space="preserve">обґрунтованої впевненості в тому, що право власності перейде до орендаря наприкінці строку оренди, актив повинен </w:t>
      </w:r>
      <w:r w:rsidRPr="003C29E0">
        <w:rPr>
          <w:color w:val="000000" w:themeColor="text1"/>
          <w:szCs w:val="20"/>
        </w:rPr>
        <w:t>бути повністю амортизований протягом більш коротшого зі строків: строку оренди і строку корисної експлуатації.</w:t>
      </w:r>
    </w:p>
    <w:p w14:paraId="022AD72A" w14:textId="3A23C73A" w:rsidR="003C29E0" w:rsidRPr="003C29E0" w:rsidRDefault="003C29E0" w:rsidP="003C29E0">
      <w:pPr>
        <w:widowControl w:val="0"/>
        <w:spacing w:before="120" w:after="120"/>
        <w:rPr>
          <w:color w:val="000000" w:themeColor="text1"/>
          <w:szCs w:val="20"/>
        </w:rPr>
      </w:pPr>
      <w:r w:rsidRPr="003C29E0">
        <w:rPr>
          <w:color w:val="000000" w:themeColor="text1"/>
          <w:szCs w:val="20"/>
        </w:rPr>
        <w:t>Об’єкт основних засобів списується при продажу або коли від продовження експлуатації активу не очікується майбутніх економічних вигід. Прибутки або збитки від продажу або іншого вибуття основних засобів визначаються як різниця між ціною продажу і балансовою вартістю основних засобів і визнаються у звіті фінансові результати.</w:t>
      </w:r>
    </w:p>
    <w:p w14:paraId="496D9280" w14:textId="6A4D24CC" w:rsidR="000C2A4B" w:rsidRPr="003C29E0" w:rsidRDefault="000C2A4B" w:rsidP="003C29E0">
      <w:pPr>
        <w:pStyle w:val="2"/>
        <w:rPr>
          <w:color w:val="000000" w:themeColor="text1"/>
        </w:rPr>
      </w:pPr>
      <w:r w:rsidRPr="003C29E0">
        <w:rPr>
          <w:color w:val="000000" w:themeColor="text1"/>
        </w:rPr>
        <w:t>Інвестиційна нерухомість</w:t>
      </w:r>
      <w:bookmarkEnd w:id="57"/>
    </w:p>
    <w:p w14:paraId="0B9A048E" w14:textId="77777777" w:rsidR="000C2A4B" w:rsidRPr="003C29E0" w:rsidRDefault="000C2A4B" w:rsidP="000C2A4B">
      <w:pPr>
        <w:widowControl w:val="0"/>
        <w:spacing w:before="120" w:after="120"/>
        <w:rPr>
          <w:color w:val="000000" w:themeColor="text1"/>
          <w:szCs w:val="20"/>
        </w:rPr>
      </w:pPr>
      <w:r w:rsidRPr="003C29E0">
        <w:rPr>
          <w:color w:val="000000" w:themeColor="text1"/>
          <w:szCs w:val="20"/>
        </w:rPr>
        <w:t>Інвестиційна нерухомість – це об’єкти, які використовуються для отримання орендної плати, збільшення капіталу або в їх поєднанні (у тому числі, що перебувають у процесі будівництва). Об’єкти інвестиційної нерухомості враховуються за вартістю придбання, включаючи витрати на придбання. У подальшому вони оцінюються за справедливою вартістю. Усі активи, які Компанія здає в операційну оренду, щоб отримувати дохід або в цілях збільшення капіталу, враховуються як інвестиційна власність і оцінюються за справедливою вартістю. Зміни в справедливій вартості інвестиційної нерухомості включаються в прибутки або збитки періоду, в якому вони виникають.</w:t>
      </w:r>
    </w:p>
    <w:p w14:paraId="2EAD7D13" w14:textId="77777777" w:rsidR="000C2A4B" w:rsidRPr="0079013C" w:rsidRDefault="000C2A4B" w:rsidP="000C2A4B">
      <w:pPr>
        <w:widowControl w:val="0"/>
        <w:spacing w:before="120" w:after="120"/>
        <w:rPr>
          <w:color w:val="000000" w:themeColor="text1"/>
          <w:szCs w:val="20"/>
        </w:rPr>
      </w:pPr>
      <w:r w:rsidRPr="003C29E0">
        <w:rPr>
          <w:color w:val="000000" w:themeColor="text1"/>
          <w:szCs w:val="20"/>
        </w:rPr>
        <w:t>Об’єкт інвестиційної нерухомості списується при вибутті або остаточному вилученні з експлуатації, коли більше не очікується отримання пов’язаних з ним економічних вигід. Різниця між чистими надходженнями від вибуття і балансовою вартістю інвестиційної нерухомості включається в прибутки аб</w:t>
      </w:r>
      <w:r w:rsidRPr="0079013C">
        <w:rPr>
          <w:color w:val="000000" w:themeColor="text1"/>
          <w:szCs w:val="20"/>
        </w:rPr>
        <w:t>о збитки у періоді списання.</w:t>
      </w:r>
    </w:p>
    <w:p w14:paraId="50A4124D" w14:textId="77777777" w:rsidR="000C2A4B" w:rsidRPr="0079013C" w:rsidRDefault="000C2A4B" w:rsidP="002F4997">
      <w:pPr>
        <w:pStyle w:val="2"/>
        <w:rPr>
          <w:color w:val="000000" w:themeColor="text1"/>
        </w:rPr>
      </w:pPr>
      <w:bookmarkStart w:id="58" w:name="_Toc501620047"/>
      <w:r w:rsidRPr="0079013C">
        <w:rPr>
          <w:color w:val="000000" w:themeColor="text1"/>
        </w:rPr>
        <w:t>Нематеріальні активи</w:t>
      </w:r>
      <w:bookmarkEnd w:id="58"/>
    </w:p>
    <w:p w14:paraId="415EE9FE" w14:textId="77777777" w:rsidR="000C2A4B" w:rsidRPr="0079013C" w:rsidRDefault="000C2A4B" w:rsidP="002F4997">
      <w:pPr>
        <w:pStyle w:val="3"/>
        <w:rPr>
          <w:color w:val="000000" w:themeColor="text1"/>
        </w:rPr>
      </w:pPr>
      <w:bookmarkStart w:id="59" w:name="_Toc501620048"/>
      <w:r w:rsidRPr="0079013C">
        <w:rPr>
          <w:color w:val="000000" w:themeColor="text1"/>
        </w:rPr>
        <w:t>Нематеріальні активи, придбані окремо</w:t>
      </w:r>
      <w:bookmarkEnd w:id="59"/>
    </w:p>
    <w:p w14:paraId="2D44CD31" w14:textId="77777777" w:rsidR="0079013C" w:rsidRPr="0079013C" w:rsidRDefault="0079013C" w:rsidP="0079013C">
      <w:pPr>
        <w:widowControl w:val="0"/>
        <w:spacing w:before="120" w:after="120"/>
        <w:rPr>
          <w:color w:val="000000" w:themeColor="text1"/>
          <w:szCs w:val="20"/>
        </w:rPr>
      </w:pPr>
      <w:bookmarkStart w:id="60" w:name="_Toc501620049"/>
      <w:r w:rsidRPr="0079013C">
        <w:rPr>
          <w:color w:val="000000" w:themeColor="text1"/>
          <w:szCs w:val="20"/>
        </w:rPr>
        <w:t>Нематеріальні активи з визначеними строками корисної експлуатації, придбані окремо, враховуються за справедливою вартістю придбання за вирахуванням накопиченої амортизації та накопиченого збитку від зменшення корисності. Амортизація нараховується рівномірно протягом строку корисної експлуатації нематеріального активу. Очікувані строки корисної експлуатації та метод нарахування амортизації аналізуються на кожну звітну дату, при цьому всі зміни в оцінках відображаються в звітності без перегляду порівняльних показників. Нематеріальні активи з невизначеними строками корисної експлуатації, придбані окремо, враховуються за вартістю придбання за вирахуванням накопиченої амортизації.</w:t>
      </w:r>
    </w:p>
    <w:p w14:paraId="4518BCC3" w14:textId="77777777" w:rsidR="000C2A4B" w:rsidRPr="0079013C" w:rsidRDefault="000C2A4B" w:rsidP="002F4997">
      <w:pPr>
        <w:pStyle w:val="3"/>
        <w:rPr>
          <w:color w:val="000000" w:themeColor="text1"/>
        </w:rPr>
      </w:pPr>
      <w:r w:rsidRPr="0079013C">
        <w:rPr>
          <w:color w:val="000000" w:themeColor="text1"/>
        </w:rPr>
        <w:t>Нематеріальні активи, створені власними силами - дослідження та розробки</w:t>
      </w:r>
      <w:bookmarkEnd w:id="60"/>
    </w:p>
    <w:p w14:paraId="610E6678"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Витрати на дослідження відносяться на витрати періоду, в якому вони понесені.</w:t>
      </w:r>
    </w:p>
    <w:p w14:paraId="007DFD70"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Витрати на проведені власними силами (як самостійний проект або як частина інших робіт) розробки відображаються як нематеріальні активи при одночасному дотриманні наступних умов:</w:t>
      </w:r>
    </w:p>
    <w:p w14:paraId="7C705E1E" w14:textId="77777777" w:rsidR="000C2A4B" w:rsidRPr="0079013C" w:rsidRDefault="000C2A4B" w:rsidP="003A7D0C">
      <w:pPr>
        <w:pStyle w:val="af0"/>
        <w:widowControl w:val="0"/>
        <w:numPr>
          <w:ilvl w:val="0"/>
          <w:numId w:val="8"/>
        </w:numPr>
        <w:spacing w:before="120" w:after="120"/>
        <w:rPr>
          <w:color w:val="000000" w:themeColor="text1"/>
          <w:szCs w:val="20"/>
        </w:rPr>
      </w:pPr>
      <w:r w:rsidRPr="0079013C">
        <w:rPr>
          <w:color w:val="000000" w:themeColor="text1"/>
          <w:szCs w:val="20"/>
        </w:rPr>
        <w:t>технологічна можливість завершення робіт зі створення нематеріальних активів, придатного до використання або продажу;</w:t>
      </w:r>
    </w:p>
    <w:p w14:paraId="7DD79A16" w14:textId="77777777" w:rsidR="000C2A4B" w:rsidRPr="0079013C" w:rsidRDefault="000C2A4B" w:rsidP="003A7D0C">
      <w:pPr>
        <w:pStyle w:val="af0"/>
        <w:widowControl w:val="0"/>
        <w:numPr>
          <w:ilvl w:val="0"/>
          <w:numId w:val="8"/>
        </w:numPr>
        <w:spacing w:before="120" w:after="120"/>
        <w:rPr>
          <w:color w:val="000000" w:themeColor="text1"/>
          <w:szCs w:val="20"/>
        </w:rPr>
      </w:pPr>
      <w:r w:rsidRPr="0079013C">
        <w:rPr>
          <w:color w:val="000000" w:themeColor="text1"/>
          <w:szCs w:val="20"/>
        </w:rPr>
        <w:t>намір завершити роботи зі створення, використання або продажу нематеріальних активів;</w:t>
      </w:r>
    </w:p>
    <w:p w14:paraId="533F26AB" w14:textId="77777777" w:rsidR="000C2A4B" w:rsidRPr="0079013C" w:rsidRDefault="000C2A4B" w:rsidP="003A7D0C">
      <w:pPr>
        <w:pStyle w:val="af0"/>
        <w:widowControl w:val="0"/>
        <w:numPr>
          <w:ilvl w:val="0"/>
          <w:numId w:val="8"/>
        </w:numPr>
        <w:spacing w:before="120" w:after="120"/>
        <w:rPr>
          <w:color w:val="000000" w:themeColor="text1"/>
          <w:szCs w:val="20"/>
        </w:rPr>
      </w:pPr>
      <w:r w:rsidRPr="0079013C">
        <w:rPr>
          <w:color w:val="000000" w:themeColor="text1"/>
          <w:szCs w:val="20"/>
        </w:rPr>
        <w:t>можливість використовувати або продати нематеріальні активи;</w:t>
      </w:r>
    </w:p>
    <w:p w14:paraId="38BB3E85" w14:textId="77777777" w:rsidR="000C2A4B" w:rsidRPr="0079013C" w:rsidRDefault="000C2A4B" w:rsidP="003A7D0C">
      <w:pPr>
        <w:pStyle w:val="af0"/>
        <w:widowControl w:val="0"/>
        <w:numPr>
          <w:ilvl w:val="0"/>
          <w:numId w:val="8"/>
        </w:numPr>
        <w:spacing w:before="120" w:after="120"/>
        <w:rPr>
          <w:color w:val="000000" w:themeColor="text1"/>
          <w:szCs w:val="20"/>
        </w:rPr>
      </w:pPr>
      <w:r w:rsidRPr="0079013C">
        <w:rPr>
          <w:color w:val="000000" w:themeColor="text1"/>
          <w:szCs w:val="20"/>
        </w:rPr>
        <w:t>висока ймовірність надходження майбутніх економічних вигід від нематеріальних активів;</w:t>
      </w:r>
    </w:p>
    <w:p w14:paraId="025A4A57" w14:textId="77777777" w:rsidR="000C2A4B" w:rsidRPr="0079013C" w:rsidRDefault="000C2A4B" w:rsidP="003A7D0C">
      <w:pPr>
        <w:pStyle w:val="af0"/>
        <w:widowControl w:val="0"/>
        <w:numPr>
          <w:ilvl w:val="0"/>
          <w:numId w:val="8"/>
        </w:numPr>
        <w:spacing w:before="120" w:after="120"/>
        <w:rPr>
          <w:color w:val="000000" w:themeColor="text1"/>
          <w:szCs w:val="20"/>
        </w:rPr>
      </w:pPr>
      <w:r w:rsidRPr="0079013C">
        <w:rPr>
          <w:color w:val="000000" w:themeColor="text1"/>
          <w:szCs w:val="20"/>
        </w:rPr>
        <w:t>наявність технічних, фінансових та інших ресурсів для завершення розробок, використання або продажу нематеріальних активів;</w:t>
      </w:r>
    </w:p>
    <w:p w14:paraId="5CE28CCC" w14:textId="77777777" w:rsidR="000C2A4B" w:rsidRPr="0079013C" w:rsidRDefault="000C2A4B" w:rsidP="003A7D0C">
      <w:pPr>
        <w:pStyle w:val="af0"/>
        <w:widowControl w:val="0"/>
        <w:numPr>
          <w:ilvl w:val="0"/>
          <w:numId w:val="8"/>
        </w:numPr>
        <w:spacing w:before="120" w:after="120"/>
        <w:rPr>
          <w:color w:val="000000" w:themeColor="text1"/>
          <w:szCs w:val="20"/>
        </w:rPr>
      </w:pPr>
      <w:r w:rsidRPr="0079013C">
        <w:rPr>
          <w:color w:val="000000" w:themeColor="text1"/>
          <w:szCs w:val="20"/>
        </w:rPr>
        <w:t>можливість надійно оцінити вартість нематеріального активу, що виникає в результаті проведення розробок.</w:t>
      </w:r>
    </w:p>
    <w:p w14:paraId="7A4059DB"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Нематеріальні активи, створені власними силами, відображаються в обліку в сумі витрат, понесених після дати, коли нематеріальний актив вперше починає відповідати вказаним вище критеріям. При неможливості відображення нематеріального активу, створеного власними силами, витрати на розробку відносяться на витрати періоду, у якому вони понесені.</w:t>
      </w:r>
    </w:p>
    <w:p w14:paraId="11C41F0C"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Після прийняття на облік нематеріальні активи, створені власними силами, обліковуються за фактичною собівартістю за вирахуванням накопиченої амортизації та накопиченого збитку від зменшення корисності, аналогічно нематеріальним активам, які окремо придбані.</w:t>
      </w:r>
    </w:p>
    <w:p w14:paraId="2BE7C5D5" w14:textId="77777777" w:rsidR="000C2A4B" w:rsidRPr="0079013C" w:rsidRDefault="000C2A4B" w:rsidP="002F4997">
      <w:pPr>
        <w:pStyle w:val="3"/>
        <w:rPr>
          <w:color w:val="000000" w:themeColor="text1"/>
        </w:rPr>
      </w:pPr>
      <w:bookmarkStart w:id="61" w:name="_Toc501620050"/>
      <w:r w:rsidRPr="0079013C">
        <w:rPr>
          <w:color w:val="000000" w:themeColor="text1"/>
        </w:rPr>
        <w:lastRenderedPageBreak/>
        <w:t>Нематеріальні активи, придбані при об'єднанні бізнесу</w:t>
      </w:r>
      <w:bookmarkEnd w:id="61"/>
    </w:p>
    <w:p w14:paraId="759D583D"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Нематеріальні активи, придбані в ході об’єднання бізнесу і відображені окремо від гудвілу, відображаються в обліку за справедливою вартістю на дату придбання (справедлива вартість розглядається як вартість придбання).</w:t>
      </w:r>
    </w:p>
    <w:p w14:paraId="304F1086"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Після взяття на облік нематеріальні активи, придбані в ході об’єднання бізнесу, відображаються за вартістю придбання за вирахуванням накопиченої амортизації і накопичених збитків від зменшення корисності, аналогічно нематеріальним активам, які придбані окремо.</w:t>
      </w:r>
    </w:p>
    <w:p w14:paraId="6439C1F7" w14:textId="77777777" w:rsidR="000C2A4B" w:rsidRPr="0079013C" w:rsidRDefault="000C2A4B" w:rsidP="002F4997">
      <w:pPr>
        <w:pStyle w:val="3"/>
        <w:rPr>
          <w:color w:val="000000" w:themeColor="text1"/>
        </w:rPr>
      </w:pPr>
      <w:bookmarkStart w:id="62" w:name="_Toc501620051"/>
      <w:r w:rsidRPr="0079013C">
        <w:rPr>
          <w:color w:val="000000" w:themeColor="text1"/>
        </w:rPr>
        <w:t>Списання нематеріальних активів</w:t>
      </w:r>
      <w:bookmarkEnd w:id="62"/>
    </w:p>
    <w:p w14:paraId="16D3000B"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Нематеріальні активи списуються при продажу або коли від їх використання або вибуття не очікується майбутніх економічних вигід. Різниця між чистими надходженнями від вибуття і балансовою вартістю активу включається в прибуток або збиток в момент списання.</w:t>
      </w:r>
    </w:p>
    <w:p w14:paraId="37B55B45" w14:textId="77777777" w:rsidR="000C2A4B" w:rsidRPr="0079013C" w:rsidRDefault="000C2A4B" w:rsidP="002F4997">
      <w:pPr>
        <w:pStyle w:val="2"/>
        <w:rPr>
          <w:color w:val="000000" w:themeColor="text1"/>
        </w:rPr>
      </w:pPr>
      <w:bookmarkStart w:id="63" w:name="_Toc501620052"/>
      <w:r w:rsidRPr="0079013C">
        <w:rPr>
          <w:color w:val="000000" w:themeColor="text1"/>
        </w:rPr>
        <w:t>Зменшення корисності матеріальних і нематеріальних активів, за винятком гудвілу</w:t>
      </w:r>
      <w:bookmarkEnd w:id="63"/>
    </w:p>
    <w:p w14:paraId="437B4586"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На кожну звітну дату Компанія переглядає балансову вартість своїх основних засобів та нематеріальних активів з метою визначення, чи існує будь-яке свідчення того, що ці активи зазнали збитку від зменшення корисності. За наявності такого свідчення Компанія оцінює суму відшкодування відповідного активу для визначення розміру збитку від зменшення корисності. Якщо неможливо здійснити оцінку суми відшкодування окремого активу, Компанія оцінює суму відшкодування одиниці, яка генерує грошові кошти, до якої належить актив. Вартість корпоративних активів Компанія розподіляється на окремі одиниці, що генерують грошові кошти, або найменші групи одиниць, що генерують грошові кошти, для яких може бути знайдений розумний і послідовний метод розподілу.</w:t>
      </w:r>
    </w:p>
    <w:p w14:paraId="6B270F40"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Нематеріальні активи з невизначеним строком корисної експлуатації і нематеріальні активи, які ще не придатні до використання, оцінюються на зменшення корисності щонайменше щорічно або частіше, якщо виявляються ознаки можливого зменшення корисності.</w:t>
      </w:r>
    </w:p>
    <w:p w14:paraId="548107D4"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Сума очікуваного відшкодування визначається як більша з величин: справедливої вартості активу за вирахуванням витрат на продаж та вартості при використанні. Оцінюючи вартість при використанні, очікувані майбутні потоки грошових кошів дисконтуються з використанням ставки дисконту до оподаткування, що відображає поточну ринкову оцінку вартості грошей в часі та  ризики, властиві цьому активу, на які не коригувалася  оцінка майбутніх грошових потоків.</w:t>
      </w:r>
    </w:p>
    <w:p w14:paraId="75163A56"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Якщо сума очікуваного відшкодування активу (або одиниці, яка генерує грошові кошти) виявляється нижчою, ніж балансова вартість, то балансова вартість активу (одиниці, яка генерує грошові кошти) зменшується до суми очікуваного відшкодування. Збитки від зменшення корисності відразу відображаються в прибутку або збитку, якщо актив не підлягає регулярній переоцінці. У цьому випадку збиток від зменшення корисності враховується як зменшення резерву з переоцінки</w:t>
      </w:r>
    </w:p>
    <w:p w14:paraId="70C8EBC7"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Якщо збиток від зменшення корисності в подальшому відновлюється, балансова вартість одиниці активу, яка генерує грошові кошти, збільшується до отриманої в результаті нової оцінки суми очікуваного відшкодування, таким чином, щоб нова балансова вартість не перевищувала балансову вартість, яка була б визначена, якби щодо цього активу (одиниці, яка генерує грошові кошти) не був відображений збиток від зменшення корисності в попередні роки. Відновлення збитку від зменшення корисності відразу ж відображається в прибутку або збитку, якщо тільки актив не підлягає регулярній переоцінці. У цьому випадку відновлення збитку від зменшення корисності враховується як збільшення резерву з переоцінки.</w:t>
      </w:r>
    </w:p>
    <w:p w14:paraId="670A18EB" w14:textId="77777777" w:rsidR="000C2A4B" w:rsidRPr="0079013C" w:rsidRDefault="000C2A4B" w:rsidP="002F4997">
      <w:pPr>
        <w:pStyle w:val="2"/>
        <w:rPr>
          <w:color w:val="000000" w:themeColor="text1"/>
        </w:rPr>
      </w:pPr>
      <w:bookmarkStart w:id="64" w:name="_Toc501620053"/>
      <w:r w:rsidRPr="0079013C">
        <w:rPr>
          <w:color w:val="000000" w:themeColor="text1"/>
        </w:rPr>
        <w:t>Кредити та позики</w:t>
      </w:r>
      <w:bookmarkEnd w:id="64"/>
    </w:p>
    <w:p w14:paraId="5D827C01" w14:textId="77777777" w:rsidR="0079013C" w:rsidRPr="005E433F" w:rsidRDefault="0079013C" w:rsidP="00790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Cs w:val="20"/>
        </w:rPr>
      </w:pPr>
      <w:bookmarkStart w:id="65" w:name="_Toc501620054"/>
      <w:r w:rsidRPr="0079013C">
        <w:rPr>
          <w:color w:val="000000" w:themeColor="text1"/>
          <w:szCs w:val="20"/>
        </w:rPr>
        <w:t xml:space="preserve">Короткострокові кредити і позики </w:t>
      </w:r>
      <w:r w:rsidRPr="005E433F">
        <w:rPr>
          <w:color w:val="auto"/>
          <w:szCs w:val="20"/>
        </w:rPr>
        <w:t xml:space="preserve">включають в себе: </w:t>
      </w:r>
    </w:p>
    <w:p w14:paraId="71DC12F1" w14:textId="77777777" w:rsidR="0079013C" w:rsidRPr="0079013C" w:rsidRDefault="0079013C" w:rsidP="0079013C">
      <w:pPr>
        <w:pStyle w:val="af0"/>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themeColor="text1"/>
          <w:szCs w:val="20"/>
        </w:rPr>
      </w:pPr>
      <w:r w:rsidRPr="005E433F">
        <w:rPr>
          <w:szCs w:val="20"/>
        </w:rPr>
        <w:t xml:space="preserve">процентні </w:t>
      </w:r>
      <w:r w:rsidRPr="0079013C">
        <w:rPr>
          <w:color w:val="000000" w:themeColor="text1"/>
          <w:szCs w:val="20"/>
        </w:rPr>
        <w:t>кредити та позики з терміном погашення менш одного року;</w:t>
      </w:r>
    </w:p>
    <w:p w14:paraId="22CFACED" w14:textId="77777777" w:rsidR="0079013C" w:rsidRPr="0079013C" w:rsidRDefault="0079013C" w:rsidP="0079013C">
      <w:pPr>
        <w:pStyle w:val="af0"/>
        <w:numPr>
          <w:ilvl w:val="0"/>
          <w:numId w:val="19"/>
        </w:numPr>
        <w:shd w:val="clear" w:color="auto" w:fill="FFFFFF"/>
        <w:spacing w:after="200" w:line="276" w:lineRule="auto"/>
        <w:rPr>
          <w:color w:val="000000" w:themeColor="text1"/>
          <w:szCs w:val="20"/>
        </w:rPr>
      </w:pPr>
      <w:r w:rsidRPr="0079013C">
        <w:rPr>
          <w:color w:val="000000" w:themeColor="text1"/>
          <w:szCs w:val="20"/>
        </w:rPr>
        <w:t>короткострокову частину довгострокових процентних кредитів і позик. Довгострокові кредити і позики включають в себе зобов'язання з терміном погашення більше одного року.</w:t>
      </w:r>
    </w:p>
    <w:p w14:paraId="36292F8E" w14:textId="77777777" w:rsidR="000C2A4B" w:rsidRPr="0079013C" w:rsidRDefault="000C2A4B" w:rsidP="002F4997">
      <w:pPr>
        <w:pStyle w:val="2"/>
        <w:rPr>
          <w:color w:val="000000" w:themeColor="text1"/>
        </w:rPr>
      </w:pPr>
      <w:r w:rsidRPr="0079013C">
        <w:rPr>
          <w:color w:val="000000" w:themeColor="text1"/>
        </w:rPr>
        <w:t>Запаси</w:t>
      </w:r>
      <w:bookmarkEnd w:id="65"/>
    </w:p>
    <w:p w14:paraId="651229A2" w14:textId="73EB2F67" w:rsidR="000C2A4B" w:rsidRPr="0079013C" w:rsidRDefault="000C2A4B" w:rsidP="000C2A4B">
      <w:pPr>
        <w:widowControl w:val="0"/>
        <w:spacing w:before="120" w:after="120"/>
        <w:rPr>
          <w:color w:val="000000" w:themeColor="text1"/>
          <w:szCs w:val="20"/>
        </w:rPr>
      </w:pPr>
      <w:r w:rsidRPr="0079013C">
        <w:rPr>
          <w:color w:val="000000" w:themeColor="text1"/>
          <w:szCs w:val="20"/>
        </w:rPr>
        <w:t xml:space="preserve">Запаси відображаються за найменшою з величин: собівартості та чистої вартості реалізації. Вартість придбання запасів визначається за </w:t>
      </w:r>
      <w:r w:rsidR="00F860A5" w:rsidRPr="0079013C">
        <w:rPr>
          <w:color w:val="000000" w:themeColor="text1"/>
          <w:szCs w:val="20"/>
        </w:rPr>
        <w:t>ідентифікованим методом</w:t>
      </w:r>
      <w:r w:rsidRPr="0079013C">
        <w:rPr>
          <w:color w:val="000000" w:themeColor="text1"/>
          <w:szCs w:val="20"/>
        </w:rPr>
        <w:t xml:space="preserve">. Чиста вартість реалізації – це </w:t>
      </w:r>
      <w:r w:rsidRPr="0079013C">
        <w:rPr>
          <w:color w:val="000000" w:themeColor="text1"/>
          <w:szCs w:val="20"/>
        </w:rPr>
        <w:lastRenderedPageBreak/>
        <w:t>розрахована ціна реалізації запасів за вирахуванням передбачуваних витрат на завершення та витрат на реалізацію.</w:t>
      </w:r>
    </w:p>
    <w:p w14:paraId="04D41DE5" w14:textId="77777777" w:rsidR="000C2A4B" w:rsidRPr="0079013C" w:rsidRDefault="000C2A4B" w:rsidP="002F4997">
      <w:pPr>
        <w:pStyle w:val="2"/>
        <w:rPr>
          <w:color w:val="000000" w:themeColor="text1"/>
        </w:rPr>
      </w:pPr>
      <w:bookmarkStart w:id="66" w:name="_Toc501620055"/>
      <w:r w:rsidRPr="0079013C">
        <w:rPr>
          <w:color w:val="000000" w:themeColor="text1"/>
        </w:rPr>
        <w:t>Формування забезпечень</w:t>
      </w:r>
      <w:bookmarkEnd w:id="66"/>
    </w:p>
    <w:p w14:paraId="588B9F33" w14:textId="24CB9987" w:rsidR="000C2A4B" w:rsidRPr="0079013C" w:rsidRDefault="000C2A4B" w:rsidP="000C2A4B">
      <w:pPr>
        <w:widowControl w:val="0"/>
        <w:spacing w:before="120" w:after="120"/>
        <w:rPr>
          <w:color w:val="000000" w:themeColor="text1"/>
          <w:szCs w:val="20"/>
        </w:rPr>
      </w:pPr>
      <w:r w:rsidRPr="0079013C">
        <w:rPr>
          <w:color w:val="000000" w:themeColor="text1"/>
          <w:szCs w:val="20"/>
        </w:rPr>
        <w:t>Забезпечення визнаються, коли у Компанії є зобов’язання (юридичне або конструктивне), що виникло в результаті минулих подій, і</w:t>
      </w:r>
      <w:r w:rsidR="0052360A" w:rsidRPr="0079013C">
        <w:rPr>
          <w:color w:val="000000" w:themeColor="text1"/>
          <w:szCs w:val="20"/>
        </w:rPr>
        <w:t xml:space="preserve"> при цьому вірогідним є те, що </w:t>
      </w:r>
      <w:r w:rsidRPr="0079013C">
        <w:rPr>
          <w:color w:val="000000" w:themeColor="text1"/>
          <w:szCs w:val="20"/>
        </w:rPr>
        <w:t xml:space="preserve">Компанія буде змушена погасити це зобов’язання, і можна зробити достовірну оцінку цього зобов’язання. </w:t>
      </w:r>
    </w:p>
    <w:p w14:paraId="7F674C87"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Забезпечення визнається в найкращій оцінці витрат, необхідних для погашення існуючого зобов’язання, на звітну дату з урахуванням ризиків, характерних для цього зобов’язання. Якщо зобов’язання розраховується на основі передбачуваних грошових потоків по його погашенню, то грошові потоки дисконтуються (якщо вплив дисконтування суттєвий).</w:t>
      </w:r>
    </w:p>
    <w:p w14:paraId="38EFD18D" w14:textId="77777777" w:rsidR="000C2A4B" w:rsidRPr="0079013C" w:rsidRDefault="000C2A4B" w:rsidP="000C2A4B">
      <w:pPr>
        <w:widowControl w:val="0"/>
        <w:spacing w:before="120" w:after="120"/>
        <w:rPr>
          <w:color w:val="000000" w:themeColor="text1"/>
          <w:szCs w:val="20"/>
        </w:rPr>
      </w:pPr>
      <w:r w:rsidRPr="0079013C">
        <w:rPr>
          <w:color w:val="000000" w:themeColor="text1"/>
          <w:szCs w:val="20"/>
        </w:rPr>
        <w:t xml:space="preserve">Якщо очікується, що виплати з погашення зобов'язань будуть частково або повністю відшкодовані третьою стороною, відповідна дебіторська заборгованість відображається як актив тільки при повній впевненості, що компенсація буде отримана, і можливості її надійної оцінки. </w:t>
      </w:r>
    </w:p>
    <w:p w14:paraId="6346E776" w14:textId="77777777" w:rsidR="000C2A4B" w:rsidRPr="0079013C" w:rsidRDefault="000C2A4B" w:rsidP="002F4997">
      <w:pPr>
        <w:pStyle w:val="3"/>
        <w:rPr>
          <w:color w:val="000000" w:themeColor="text1"/>
        </w:rPr>
      </w:pPr>
      <w:bookmarkStart w:id="67" w:name="_Toc501620056"/>
      <w:r w:rsidRPr="0079013C">
        <w:rPr>
          <w:color w:val="000000" w:themeColor="text1"/>
        </w:rPr>
        <w:t>Судові справи</w:t>
      </w:r>
      <w:bookmarkEnd w:id="67"/>
    </w:p>
    <w:p w14:paraId="322A8085" w14:textId="11F59852" w:rsidR="000C2A4B" w:rsidRPr="0079013C" w:rsidRDefault="000C2A4B" w:rsidP="000C2A4B">
      <w:pPr>
        <w:widowControl w:val="0"/>
        <w:spacing w:before="120" w:after="120"/>
        <w:rPr>
          <w:color w:val="000000" w:themeColor="text1"/>
          <w:szCs w:val="20"/>
        </w:rPr>
      </w:pPr>
      <w:r w:rsidRPr="0079013C">
        <w:rPr>
          <w:color w:val="000000" w:themeColor="text1"/>
          <w:szCs w:val="20"/>
        </w:rPr>
        <w:t>Відповідно до МСФЗ Компанія визнає резерв лише у випадку існування поточного зобов’язання за минулою подією, можливості переходу економічних вигід і достовірної оцінки суми витрат по переходу. У випадках, коли ці вимоги не виконуються. Інформація про умовне зобов’язання може бути розкрита в примітках до фінансової звітності. Реалізація будь-якого умовного зобов’язання, яка не була визнана або розкрита на поточний момент у фінансовій звітності, може мати суттєвий вплив на фінансовий стан</w:t>
      </w:r>
      <w:r w:rsidR="0052360A" w:rsidRPr="0079013C">
        <w:rPr>
          <w:color w:val="000000" w:themeColor="text1"/>
          <w:szCs w:val="20"/>
        </w:rPr>
        <w:t xml:space="preserve"> К</w:t>
      </w:r>
      <w:r w:rsidRPr="0079013C">
        <w:rPr>
          <w:color w:val="000000" w:themeColor="text1"/>
          <w:szCs w:val="20"/>
        </w:rPr>
        <w:t xml:space="preserve">омпанії. Застосування даних принципів облікової політики  по відношенню до судових справ потребує від керівництва Компанії оцінок різних фактичних та юридичних питань поза його контролем. </w:t>
      </w:r>
    </w:p>
    <w:p w14:paraId="23914250" w14:textId="77777777" w:rsidR="000C2A4B" w:rsidRPr="0079013C" w:rsidRDefault="000C2A4B" w:rsidP="002F4997">
      <w:pPr>
        <w:pStyle w:val="3"/>
        <w:rPr>
          <w:color w:val="000000" w:themeColor="text1"/>
        </w:rPr>
      </w:pPr>
      <w:bookmarkStart w:id="68" w:name="_Toc501620057"/>
      <w:r w:rsidRPr="0079013C">
        <w:rPr>
          <w:color w:val="000000" w:themeColor="text1"/>
        </w:rPr>
        <w:t>Обтяжливі контракти</w:t>
      </w:r>
      <w:bookmarkEnd w:id="68"/>
    </w:p>
    <w:p w14:paraId="16A9C24B" w14:textId="77777777" w:rsidR="000C2A4B" w:rsidRPr="00195200" w:rsidRDefault="000C2A4B" w:rsidP="000C2A4B">
      <w:pPr>
        <w:widowControl w:val="0"/>
        <w:spacing w:before="120" w:after="120"/>
        <w:rPr>
          <w:color w:val="000000" w:themeColor="text1"/>
          <w:szCs w:val="20"/>
        </w:rPr>
      </w:pPr>
      <w:r w:rsidRPr="0079013C">
        <w:rPr>
          <w:color w:val="000000" w:themeColor="text1"/>
          <w:szCs w:val="20"/>
        </w:rPr>
        <w:t xml:space="preserve">Зобов’язання за обтяжливим контрактом визнається в забезпеченнях і оцінюється за тими ж принципами. Контракт вважається обтяжливим, якщо Компанія взяла на себе договірні зобов’язання, виконання яких </w:t>
      </w:r>
      <w:r w:rsidRPr="00195200">
        <w:rPr>
          <w:color w:val="000000" w:themeColor="text1"/>
          <w:szCs w:val="20"/>
        </w:rPr>
        <w:t>пов’язане з неминучими збитками, тобто сума витрат на виконання зобов'язань перевищує очікувані економічні вигоди від контракту.</w:t>
      </w:r>
    </w:p>
    <w:p w14:paraId="098F78D0" w14:textId="77777777" w:rsidR="000C2A4B" w:rsidRPr="00195200" w:rsidRDefault="000C2A4B" w:rsidP="002F4997">
      <w:pPr>
        <w:pStyle w:val="3"/>
        <w:rPr>
          <w:color w:val="000000" w:themeColor="text1"/>
        </w:rPr>
      </w:pPr>
      <w:bookmarkStart w:id="69" w:name="_Toc501620058"/>
      <w:r w:rsidRPr="00195200">
        <w:rPr>
          <w:color w:val="000000" w:themeColor="text1"/>
        </w:rPr>
        <w:t>Реструктуризація</w:t>
      </w:r>
      <w:bookmarkEnd w:id="69"/>
      <w:r w:rsidRPr="00195200">
        <w:rPr>
          <w:color w:val="000000" w:themeColor="text1"/>
        </w:rPr>
        <w:t xml:space="preserve"> </w:t>
      </w:r>
    </w:p>
    <w:p w14:paraId="601A7490" w14:textId="77777777" w:rsidR="000C2A4B" w:rsidRPr="00195200" w:rsidRDefault="000C2A4B" w:rsidP="000C2A4B">
      <w:pPr>
        <w:widowControl w:val="0"/>
        <w:spacing w:before="120" w:after="120"/>
        <w:rPr>
          <w:color w:val="000000" w:themeColor="text1"/>
          <w:szCs w:val="20"/>
        </w:rPr>
      </w:pPr>
      <w:r w:rsidRPr="00195200">
        <w:rPr>
          <w:color w:val="000000" w:themeColor="text1"/>
          <w:szCs w:val="20"/>
        </w:rPr>
        <w:t>Резерв на проведення реструктуризації формується на дату, коли Компанія розробила детальний офіційний план реструктуризації і викликала обґрунтоване очікування у тих, на кого вона впливає, що вона здійснить реструктуризацію, розпочавши впровадження цього плану або оголосивши його зміст до всіх зацікавлених осіб. Резерв на проведення реструктуризації створюється тільки на суму прямих витрат, тобто витрат, однозначно обумовлених реструктуризацією і не пов'язаних з поточною діяльністю.</w:t>
      </w:r>
    </w:p>
    <w:p w14:paraId="71F6B092" w14:textId="77777777" w:rsidR="000C2A4B" w:rsidRPr="00195200" w:rsidRDefault="000C2A4B" w:rsidP="002F4997">
      <w:pPr>
        <w:pStyle w:val="3"/>
        <w:rPr>
          <w:color w:val="000000" w:themeColor="text1"/>
        </w:rPr>
      </w:pPr>
      <w:bookmarkStart w:id="70" w:name="_Toc501620059"/>
      <w:r w:rsidRPr="00195200">
        <w:rPr>
          <w:color w:val="000000" w:themeColor="text1"/>
        </w:rPr>
        <w:t>Гарантійне обслуговування</w:t>
      </w:r>
      <w:bookmarkEnd w:id="70"/>
    </w:p>
    <w:p w14:paraId="1FE0BF56" w14:textId="77777777" w:rsidR="000C2A4B" w:rsidRPr="00DF5D98" w:rsidRDefault="000C2A4B" w:rsidP="000C2A4B">
      <w:pPr>
        <w:widowControl w:val="0"/>
        <w:spacing w:before="120" w:after="120"/>
        <w:rPr>
          <w:color w:val="000000" w:themeColor="text1"/>
          <w:szCs w:val="20"/>
        </w:rPr>
      </w:pPr>
      <w:r w:rsidRPr="00195200">
        <w:rPr>
          <w:color w:val="000000" w:themeColor="text1"/>
          <w:szCs w:val="20"/>
        </w:rPr>
        <w:t xml:space="preserve">Резерв на гарантійне обслуговування, </w:t>
      </w:r>
      <w:r w:rsidRPr="00DF5D98">
        <w:rPr>
          <w:color w:val="000000" w:themeColor="text1"/>
          <w:szCs w:val="20"/>
        </w:rPr>
        <w:t>що проводиться відповідно до законодавства про захист прав споживачів, формується на дату реалізації товарів і визначається на основі найкращої оцінки витрат, необхідних для погашення зобов'язань Компанії.</w:t>
      </w:r>
    </w:p>
    <w:p w14:paraId="0C19081C" w14:textId="77777777" w:rsidR="000C2A4B" w:rsidRPr="00DF5D98" w:rsidRDefault="000C2A4B" w:rsidP="002F4997">
      <w:pPr>
        <w:pStyle w:val="3"/>
        <w:rPr>
          <w:color w:val="000000" w:themeColor="text1"/>
        </w:rPr>
      </w:pPr>
      <w:bookmarkStart w:id="71" w:name="_Toc501620060"/>
      <w:r w:rsidRPr="00DF5D98">
        <w:rPr>
          <w:color w:val="000000" w:themeColor="text1"/>
        </w:rPr>
        <w:t>Умовні зобов'язання, придбані в ході об'єднання бізнесу</w:t>
      </w:r>
      <w:bookmarkEnd w:id="71"/>
    </w:p>
    <w:p w14:paraId="3758C0B0" w14:textId="45E391A6" w:rsidR="000C2A4B" w:rsidRPr="005F2426" w:rsidRDefault="000C2A4B" w:rsidP="000C2A4B">
      <w:pPr>
        <w:widowControl w:val="0"/>
        <w:spacing w:before="120" w:after="120"/>
        <w:rPr>
          <w:color w:val="000000" w:themeColor="text1"/>
          <w:szCs w:val="20"/>
        </w:rPr>
      </w:pPr>
      <w:r w:rsidRPr="00DF5D98">
        <w:rPr>
          <w:color w:val="000000" w:themeColor="text1"/>
          <w:szCs w:val="20"/>
        </w:rPr>
        <w:t xml:space="preserve">Умовні зобов'язання, придбані при об'єднанні бізнесу, відображаються в обліку за справедливою вартістю на дату придбання. У подальшому умовні зобов'язання оцінюються за найбільшою з: а) величини, визначеної згідно з МСБО 37 «Забезпечення, умовні зобов'язання та умовні активи», і б) </w:t>
      </w:r>
      <w:r w:rsidRPr="005F2426">
        <w:rPr>
          <w:color w:val="000000" w:themeColor="text1"/>
          <w:szCs w:val="20"/>
        </w:rPr>
        <w:t xml:space="preserve">величини, за якою вони були спочатку взяті на облік, за вирахуванням накопиченої амортизації, розрахованої відповідно до </w:t>
      </w:r>
      <w:hyperlink r:id="rId9" w:tgtFrame="_blank" w:history="1">
        <w:r w:rsidR="00195200" w:rsidRPr="005F2426">
          <w:rPr>
            <w:color w:val="000000" w:themeColor="text1"/>
            <w:szCs w:val="20"/>
          </w:rPr>
          <w:t xml:space="preserve">МСФЗ 15 </w:t>
        </w:r>
        <w:r w:rsidR="00304A5A" w:rsidRPr="005F2426">
          <w:rPr>
            <w:color w:val="000000" w:themeColor="text1"/>
            <w:szCs w:val="20"/>
          </w:rPr>
          <w:t>«</w:t>
        </w:r>
        <w:r w:rsidR="00195200" w:rsidRPr="005F2426">
          <w:rPr>
            <w:color w:val="000000" w:themeColor="text1"/>
            <w:szCs w:val="20"/>
          </w:rPr>
          <w:t>Дохід від договорів з клієнтами</w:t>
        </w:r>
      </w:hyperlink>
      <w:r w:rsidR="00304A5A" w:rsidRPr="005F2426">
        <w:rPr>
          <w:color w:val="000000" w:themeColor="text1"/>
          <w:szCs w:val="20"/>
        </w:rPr>
        <w:t>»</w:t>
      </w:r>
      <w:r w:rsidR="00195200" w:rsidRPr="005F2426">
        <w:rPr>
          <w:color w:val="000000" w:themeColor="text1"/>
          <w:szCs w:val="20"/>
        </w:rPr>
        <w:t>.</w:t>
      </w:r>
    </w:p>
    <w:p w14:paraId="62E4E159" w14:textId="77777777" w:rsidR="000C2A4B" w:rsidRPr="005F2426" w:rsidRDefault="000C2A4B" w:rsidP="002F4997">
      <w:pPr>
        <w:pStyle w:val="2"/>
        <w:rPr>
          <w:color w:val="000000" w:themeColor="text1"/>
        </w:rPr>
      </w:pPr>
      <w:bookmarkStart w:id="72" w:name="_Toc501620061"/>
      <w:r w:rsidRPr="005F2426">
        <w:rPr>
          <w:color w:val="000000" w:themeColor="text1"/>
        </w:rPr>
        <w:t>Фінансові інструменти</w:t>
      </w:r>
      <w:bookmarkEnd w:id="72"/>
    </w:p>
    <w:p w14:paraId="49C721F8" w14:textId="77777777" w:rsidR="008D1210" w:rsidRPr="008F3FAD" w:rsidRDefault="008D1210" w:rsidP="008D1210">
      <w:pPr>
        <w:widowControl w:val="0"/>
        <w:spacing w:before="120" w:after="120"/>
        <w:rPr>
          <w:b/>
          <w:color w:val="000000" w:themeColor="text1"/>
          <w:szCs w:val="20"/>
        </w:rPr>
      </w:pPr>
      <w:bookmarkStart w:id="73" w:name="_Toc501620062"/>
      <w:r w:rsidRPr="008F3FAD">
        <w:rPr>
          <w:b/>
          <w:color w:val="000000" w:themeColor="text1"/>
          <w:szCs w:val="20"/>
        </w:rPr>
        <w:t>Згідно МСФЗ 9 «Фінансові інструменти»:</w:t>
      </w:r>
    </w:p>
    <w:p w14:paraId="776F12EA" w14:textId="77777777" w:rsidR="008D1210" w:rsidRPr="008F3FAD" w:rsidRDefault="008D1210" w:rsidP="008D1210">
      <w:pPr>
        <w:widowControl w:val="0"/>
        <w:spacing w:before="120" w:after="120"/>
        <w:rPr>
          <w:color w:val="000000" w:themeColor="text1"/>
          <w:szCs w:val="20"/>
        </w:rPr>
      </w:pPr>
      <w:r w:rsidRPr="008F3FAD">
        <w:rPr>
          <w:i/>
          <w:color w:val="000000" w:themeColor="text1"/>
          <w:szCs w:val="20"/>
        </w:rPr>
        <w:t>Класифікація та оцінки фінансових активів та фінансових зобов’язань</w:t>
      </w:r>
      <w:r w:rsidRPr="008F3FAD">
        <w:rPr>
          <w:color w:val="000000" w:themeColor="text1"/>
          <w:szCs w:val="20"/>
        </w:rPr>
        <w:t xml:space="preserve">. Усі визнані фінансові активи, які входять у сферу застосування МСФЗ 9, Компанія оцінює за амортизованою вартістю або </w:t>
      </w:r>
      <w:r w:rsidRPr="008F3FAD">
        <w:rPr>
          <w:color w:val="000000" w:themeColor="text1"/>
          <w:szCs w:val="20"/>
        </w:rPr>
        <w:lastRenderedPageBreak/>
        <w:t xml:space="preserve">справедливою вартістю на основі бізнес-моделі, яку використовує Компанія для управління фінансовими активами та характеристиками потоків грошових коштів за договорами від фінансових активів. Фінансові активи, які класифікувались як грошові кошти та їхні еквіваленти, дебіторська заборгованість згідно з вимогами МСБО «Фінансові інструменти, визнання та оцінка» та оцінювались за амортизаційною вартістю згідно з вимогами МСФЗ 9, оскільки вони утримуються у рамках бізнес-моделі, призначеної для отримання потоків грошових коштів за договорами, а ці потоки грошових коштів складаються винятково із виплат основної суми та відсотків за непогашеною основною сумою боргу. </w:t>
      </w:r>
    </w:p>
    <w:p w14:paraId="7B358374" w14:textId="77777777" w:rsidR="008D1210" w:rsidRPr="00C1282C" w:rsidRDefault="008D1210" w:rsidP="008D1210">
      <w:pPr>
        <w:widowControl w:val="0"/>
        <w:spacing w:before="120" w:after="120"/>
        <w:rPr>
          <w:color w:val="000000" w:themeColor="text1"/>
          <w:szCs w:val="20"/>
        </w:rPr>
      </w:pPr>
      <w:r w:rsidRPr="008F3FAD">
        <w:rPr>
          <w:i/>
          <w:color w:val="000000" w:themeColor="text1"/>
          <w:szCs w:val="20"/>
        </w:rPr>
        <w:t>Зменшення корисності</w:t>
      </w:r>
      <w:r w:rsidRPr="008F3FAD">
        <w:rPr>
          <w:b/>
          <w:color w:val="000000" w:themeColor="text1"/>
          <w:szCs w:val="20"/>
        </w:rPr>
        <w:t>.</w:t>
      </w:r>
      <w:r w:rsidRPr="00C1282C">
        <w:rPr>
          <w:color w:val="000000" w:themeColor="text1"/>
          <w:szCs w:val="20"/>
        </w:rPr>
        <w:t xml:space="preserve"> Стосовно зменшення корисності фінансових активів МСФЗ 9 вимагає використання моделі очікуваних кредитних збитків. Модель очікуваних кредитних збитків вимагає від Компанії обліковувати очікувані кредитні збитки та зміни у цих очікуваних кредитних збитках на кожну звітну дату для відображення змін у кредитному ризику з моменту первісного визнання. Іншими словами, більше немає необхідності настання кредитної події для визнання кредитного збитку. </w:t>
      </w:r>
    </w:p>
    <w:p w14:paraId="4F01016F" w14:textId="77777777" w:rsidR="008D1210" w:rsidRPr="00C1282C" w:rsidRDefault="008D1210" w:rsidP="008D1210">
      <w:pPr>
        <w:widowControl w:val="0"/>
        <w:spacing w:before="120" w:after="120"/>
        <w:rPr>
          <w:color w:val="000000" w:themeColor="text1"/>
          <w:szCs w:val="20"/>
        </w:rPr>
      </w:pPr>
      <w:r w:rsidRPr="008F3FAD">
        <w:rPr>
          <w:i/>
          <w:color w:val="000000" w:themeColor="text1"/>
          <w:szCs w:val="20"/>
        </w:rPr>
        <w:t>Облік хеджування</w:t>
      </w:r>
      <w:r w:rsidRPr="00C1282C">
        <w:rPr>
          <w:color w:val="000000" w:themeColor="text1"/>
          <w:szCs w:val="20"/>
        </w:rPr>
        <w:t>. Нові вимоги до загального обліку хеджування зберігають три види механізмів обліку хеджування. Згідно МСФЗ 9 запроваджується більша гнучкість до видів операцій, які дають право на використання обліку хеджування, зокрема, ширшим стає перелік видів інструментів, які можуть класифікуватися як інструменти хеджування, та види компонентів ризику за нефінансовими статтями, які дають право на використання обліку хеджування. Окрім того, тестування на предмет ефективності було переглянуте і замінене на принцип «економічних відносин». Ретроспективна оцінка ефективності хеджування також більше не вимагається. Були запроваджені підвищені вимоги до розкриття інформації про діяльність Компанії з управління ризиками.</w:t>
      </w:r>
    </w:p>
    <w:p w14:paraId="27A07263" w14:textId="77777777" w:rsidR="000C2A4B" w:rsidRPr="00DF5D98" w:rsidRDefault="000C2A4B" w:rsidP="002F4997">
      <w:pPr>
        <w:pStyle w:val="3"/>
        <w:rPr>
          <w:color w:val="000000" w:themeColor="text1"/>
        </w:rPr>
      </w:pPr>
      <w:r w:rsidRPr="00DF5D98">
        <w:rPr>
          <w:color w:val="000000" w:themeColor="text1"/>
        </w:rPr>
        <w:t>Справедлива вартість</w:t>
      </w:r>
      <w:bookmarkEnd w:id="73"/>
    </w:p>
    <w:p w14:paraId="51511455" w14:textId="77777777" w:rsidR="000C2A4B" w:rsidRPr="00DF5D98" w:rsidRDefault="000C2A4B" w:rsidP="000C2A4B">
      <w:pPr>
        <w:pStyle w:val="HTML"/>
        <w:shd w:val="clear" w:color="auto" w:fill="FFFFFF"/>
        <w:spacing w:before="120" w:after="120"/>
        <w:jc w:val="both"/>
        <w:rPr>
          <w:rFonts w:ascii="Arial" w:hAnsi="Arial" w:cs="Arial"/>
          <w:color w:val="000000" w:themeColor="text1"/>
          <w:shd w:val="clear" w:color="auto" w:fill="FFFFFF"/>
          <w:lang w:val="uk-UA"/>
        </w:rPr>
      </w:pPr>
      <w:r w:rsidRPr="00DF5D98">
        <w:rPr>
          <w:rFonts w:ascii="Arial" w:hAnsi="Arial" w:cs="Arial"/>
          <w:color w:val="000000" w:themeColor="text1"/>
          <w:shd w:val="clear" w:color="auto" w:fill="FFFFFF"/>
          <w:lang w:val="uk-UA"/>
        </w:rPr>
        <w:t xml:space="preserve">Справедлива вартість – ціна, за якою відбувалася б </w:t>
      </w:r>
      <w:r w:rsidRPr="00DF5D98">
        <w:rPr>
          <w:rStyle w:val="rvts11"/>
          <w:rFonts w:ascii="Arial" w:hAnsi="Arial" w:cs="Arial"/>
          <w:iCs/>
          <w:color w:val="000000" w:themeColor="text1"/>
          <w:shd w:val="clear" w:color="auto" w:fill="FFFFFF"/>
          <w:lang w:val="uk-UA"/>
        </w:rPr>
        <w:t>звичайна операція</w:t>
      </w:r>
      <w:r w:rsidRPr="00DF5D98">
        <w:rPr>
          <w:rFonts w:ascii="Arial" w:hAnsi="Arial" w:cs="Arial"/>
          <w:color w:val="000000" w:themeColor="text1"/>
          <w:shd w:val="clear" w:color="auto" w:fill="FFFFFF"/>
          <w:lang w:val="uk-UA"/>
        </w:rPr>
        <w:t xml:space="preserve"> продажу активу чи передачі зобов'язання між </w:t>
      </w:r>
      <w:r w:rsidRPr="00DF5D98">
        <w:rPr>
          <w:rStyle w:val="rvts11"/>
          <w:rFonts w:ascii="Arial" w:hAnsi="Arial" w:cs="Arial"/>
          <w:iCs/>
          <w:color w:val="000000" w:themeColor="text1"/>
          <w:shd w:val="clear" w:color="auto" w:fill="FFFFFF"/>
          <w:lang w:val="uk-UA"/>
        </w:rPr>
        <w:t>учасниками ринку</w:t>
      </w:r>
      <w:r w:rsidRPr="00DF5D98">
        <w:rPr>
          <w:rFonts w:ascii="Arial" w:hAnsi="Arial" w:cs="Arial"/>
          <w:color w:val="000000" w:themeColor="text1"/>
          <w:shd w:val="clear" w:color="auto" w:fill="FFFFFF"/>
          <w:lang w:val="uk-UA"/>
        </w:rPr>
        <w:t xml:space="preserve"> на дату оцінки за нинішніх ринкових умов.</w:t>
      </w:r>
    </w:p>
    <w:p w14:paraId="2E85EEF3"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shd w:val="clear" w:color="auto" w:fill="FFFFFF"/>
          <w:lang w:val="uk-UA"/>
        </w:rPr>
        <w:t xml:space="preserve">Оцінка справедливої вартості базується на суджені, що </w:t>
      </w:r>
      <w:r w:rsidRPr="00DF5D98">
        <w:rPr>
          <w:rFonts w:ascii="Arial" w:hAnsi="Arial" w:cs="Arial"/>
          <w:color w:val="000000" w:themeColor="text1"/>
          <w:lang w:val="uk-UA"/>
        </w:rPr>
        <w:t>угода про продаж активу буде відбуватися:</w:t>
      </w:r>
    </w:p>
    <w:p w14:paraId="632CB399" w14:textId="77777777" w:rsidR="000C2A4B" w:rsidRPr="00DF5D98" w:rsidRDefault="000C2A4B" w:rsidP="003A7D0C">
      <w:pPr>
        <w:pStyle w:val="HTML"/>
        <w:numPr>
          <w:ilvl w:val="0"/>
          <w:numId w:val="1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0" w:firstLine="0"/>
        <w:jc w:val="both"/>
        <w:rPr>
          <w:rFonts w:ascii="Arial" w:hAnsi="Arial" w:cs="Arial"/>
          <w:color w:val="000000" w:themeColor="text1"/>
          <w:lang w:val="uk-UA"/>
        </w:rPr>
      </w:pPr>
      <w:r w:rsidRPr="00DF5D98">
        <w:rPr>
          <w:rFonts w:ascii="Arial" w:hAnsi="Arial" w:cs="Arial"/>
          <w:color w:val="000000" w:themeColor="text1"/>
          <w:lang w:val="uk-UA"/>
        </w:rPr>
        <w:t>На основному ринку активу чи  зобов'язання;</w:t>
      </w:r>
    </w:p>
    <w:p w14:paraId="44F2CDD2" w14:textId="77777777" w:rsidR="000C2A4B" w:rsidRPr="00DF5D98" w:rsidRDefault="000C2A4B" w:rsidP="003A7D0C">
      <w:pPr>
        <w:pStyle w:val="HTML"/>
        <w:numPr>
          <w:ilvl w:val="0"/>
          <w:numId w:val="1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0" w:firstLine="0"/>
        <w:jc w:val="both"/>
        <w:rPr>
          <w:rFonts w:ascii="Arial" w:hAnsi="Arial" w:cs="Arial"/>
          <w:color w:val="000000" w:themeColor="text1"/>
          <w:lang w:val="uk-UA"/>
        </w:rPr>
      </w:pPr>
      <w:r w:rsidRPr="00DF5D98">
        <w:rPr>
          <w:rFonts w:ascii="Arial" w:hAnsi="Arial" w:cs="Arial"/>
          <w:color w:val="000000" w:themeColor="text1"/>
          <w:lang w:val="uk-UA"/>
        </w:rPr>
        <w:t>На найбільш вигідному ринку для даного активу чи зобов’язання, за  відсутності основного ринку.</w:t>
      </w:r>
    </w:p>
    <w:p w14:paraId="31CED7F1"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Основний чи найбільш вигідний ринок повинен бути доступний для Компанії.</w:t>
      </w:r>
    </w:p>
    <w:p w14:paraId="673F0C8B"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Справедливу вартість активу чи зобов’язання визначають, виходячи з пропозицій, які учасники ринку використовували би при визначенні ціни активу чи зобов’язання, якщо припустити, що такі учасники ринку діють, переслідуючи власні економічні вигоди.</w:t>
      </w:r>
    </w:p>
    <w:p w14:paraId="78D12216"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 xml:space="preserve">Оцінка справедливої вартості нефінансового активу враховує здатність учасника ринку генерувати економічні вигоди від кращого до найбільш ефективного використання активу, або продаючи його іншому учаснику ринку, який буде використовувати актив у найкращий і найбільш ефективний спосіб. </w:t>
      </w:r>
    </w:p>
    <w:p w14:paraId="0A158DEC"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Компанія використовує різні методи оцінки, необхідні в даних умовах, і для яких є достатньо даних для визначення справедливої вартості, максимально використовуючи відповідні доступні очевидні вхідні дані і зводячи до мінімуму використання недоступних вхідних даних.</w:t>
      </w:r>
    </w:p>
    <w:p w14:paraId="77F247CF"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Всі активи та зобов’язання, справедлива вартість яких вимірюється або розкрита в фінансовій звітності, класифікуються в рамках ієрархії справедливої вартості, наведеної нижче, починаючи зі вхідних даних низького рівня, які суттєво впливають на оцінку справедливої вартості в цілому:</w:t>
      </w:r>
    </w:p>
    <w:p w14:paraId="24B9CF6E"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Вхідні дані 1-го рівня – Ціни ринкових котирувань (без коригувань) на активних ринках для стандартизованих активів та зобов’язань.</w:t>
      </w:r>
    </w:p>
    <w:p w14:paraId="075772ED"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Вхідні дані 2-го рівня – Методи оцінки, для яких низький рівень вхідних даних, що мають значний вплив на оцінку справедливої вартості, є прямо або опосередковано доступний.</w:t>
      </w:r>
    </w:p>
    <w:p w14:paraId="40E097E8" w14:textId="77777777" w:rsidR="000C2A4B" w:rsidRPr="00DF5D98" w:rsidRDefault="000C2A4B" w:rsidP="000C2A4B">
      <w:pPr>
        <w:pStyle w:val="HTML"/>
        <w:shd w:val="clear" w:color="auto" w:fill="FFFFFF"/>
        <w:spacing w:before="120" w:after="120"/>
        <w:jc w:val="both"/>
        <w:rPr>
          <w:rFonts w:ascii="Arial" w:hAnsi="Arial" w:cs="Arial"/>
          <w:color w:val="000000" w:themeColor="text1"/>
          <w:lang w:val="uk-UA"/>
        </w:rPr>
      </w:pPr>
      <w:r w:rsidRPr="00DF5D98">
        <w:rPr>
          <w:rFonts w:ascii="Arial" w:hAnsi="Arial" w:cs="Arial"/>
          <w:color w:val="000000" w:themeColor="text1"/>
          <w:lang w:val="uk-UA"/>
        </w:rPr>
        <w:t>Вхідні дані 3-го рівня – Методи оцінки, для яких низький рівень вхідних даних, що мають значний вплив на оцінку справедливої вартості, недоступний.</w:t>
      </w:r>
    </w:p>
    <w:p w14:paraId="033086C3" w14:textId="77777777" w:rsidR="000C2A4B" w:rsidRPr="00DF5D98" w:rsidRDefault="000C2A4B" w:rsidP="000C2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DF5D98">
        <w:rPr>
          <w:color w:val="000000" w:themeColor="text1"/>
          <w:szCs w:val="20"/>
        </w:rPr>
        <w:t>Для активів і зобов'язань, які визнають у фінансовій звітності на регулярній основі, Компанія визначає, відбулося переміщення між рівнями ієрархії шляхом перегляду класифікації (на основі найнижчого рівня вхідних даних, які є істотними для оцінки справедливої вартості в цілому) в кінці кожного звітного періоду.</w:t>
      </w:r>
    </w:p>
    <w:p w14:paraId="77AE9465" w14:textId="77777777" w:rsidR="000C2A4B" w:rsidRPr="00DF5D98" w:rsidRDefault="000C2A4B" w:rsidP="000C2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DF5D98">
        <w:rPr>
          <w:color w:val="000000" w:themeColor="text1"/>
          <w:szCs w:val="20"/>
          <w:shd w:val="clear" w:color="auto" w:fill="FFFFFF"/>
        </w:rPr>
        <w:lastRenderedPageBreak/>
        <w:t>Фінансова звітність Компанії підготовлена на основі принципу історичної вартості, за винятком частини основних засобів і фінансових інструментів, які обліковуються за оціночною вартістю або справедливою вартістю на звітну дату.</w:t>
      </w:r>
    </w:p>
    <w:p w14:paraId="20BB0871" w14:textId="77777777" w:rsidR="00DF5D98" w:rsidRPr="007B2730" w:rsidRDefault="00DF5D98" w:rsidP="00DF5D98">
      <w:pPr>
        <w:spacing w:before="120" w:after="120"/>
        <w:rPr>
          <w:bCs/>
          <w:color w:val="000000" w:themeColor="text1"/>
          <w:szCs w:val="20"/>
        </w:rPr>
      </w:pPr>
      <w:bookmarkStart w:id="74" w:name="_Toc501620063"/>
      <w:r w:rsidRPr="007B2730">
        <w:rPr>
          <w:bCs/>
          <w:color w:val="000000" w:themeColor="text1"/>
          <w:szCs w:val="20"/>
        </w:rPr>
        <w:t>Історична вартість зазвичай визначається на основі справедливої вартості компенсації, сплаченої в обмін на товари або послуги.</w:t>
      </w:r>
    </w:p>
    <w:p w14:paraId="423F9757" w14:textId="77777777" w:rsidR="00DF5D98" w:rsidRDefault="00DF5D98" w:rsidP="00DF5D98">
      <w:pPr>
        <w:spacing w:before="120" w:after="120"/>
        <w:rPr>
          <w:bCs/>
          <w:color w:val="000000" w:themeColor="text1"/>
          <w:szCs w:val="20"/>
        </w:rPr>
      </w:pPr>
      <w:r w:rsidRPr="007B2730">
        <w:rPr>
          <w:bCs/>
          <w:color w:val="000000" w:themeColor="text1"/>
          <w:szCs w:val="20"/>
        </w:rPr>
        <w:t xml:space="preserve">Справедлива вартість визначається як сума, яка була б отримана у результаті продажу активу або сплачена при передачі зобов'язання в рамках звичайної операції між учасниками ринку на дату оцінки, незалежно від того, чи підлягає ця ціна безпосередньому спостереженню або оцінці за іншою методикою. Під час оцінки справедливої вартості активу або зобов'язання Компанія бере до уваги характеристики відповідного активу або зобов'язання так, ніби учасники ринку врахували ці характеристики під час визначення ціни активу або зобов’язання на дату оцінки. </w:t>
      </w:r>
    </w:p>
    <w:p w14:paraId="1C9DB89A" w14:textId="77777777" w:rsidR="00DF5D98" w:rsidRPr="00CF4230" w:rsidRDefault="00DF5D98" w:rsidP="00DF5D98">
      <w:pPr>
        <w:spacing w:before="120" w:after="120"/>
        <w:rPr>
          <w:bCs/>
          <w:color w:val="000000" w:themeColor="text1"/>
          <w:szCs w:val="20"/>
        </w:rPr>
      </w:pPr>
      <w:r w:rsidRPr="007B2730">
        <w:rPr>
          <w:bCs/>
          <w:color w:val="000000" w:themeColor="text1"/>
          <w:szCs w:val="20"/>
        </w:rPr>
        <w:t>Справедлива вартість для цілей оцінки та/або розкриття у цій фінансовій звітності визначається вищезазначеним чином, за винятком операцій виплат на основі акцій, які входять у сферу застосування МСФЗ (IFRS) 2, операцій оренди, що регулюються МСФЗ (I</w:t>
      </w:r>
      <w:r w:rsidRPr="007B2730">
        <w:rPr>
          <w:bCs/>
          <w:color w:val="000000" w:themeColor="text1"/>
          <w:szCs w:val="20"/>
          <w:lang w:val="en-US"/>
        </w:rPr>
        <w:t>FR</w:t>
      </w:r>
      <w:r w:rsidRPr="007B2730">
        <w:rPr>
          <w:bCs/>
          <w:color w:val="000000" w:themeColor="text1"/>
          <w:szCs w:val="20"/>
        </w:rPr>
        <w:t xml:space="preserve">S) 16, а також оцінок, що мають певну схожість зі справедливою вартістю, але не є справедливою вартістю (наприклад, чиста вартість реалізації при оцінці запасів згідно з МСБО (IAS) 2 або вартість при використанні при оцінці знецінення згідно </w:t>
      </w:r>
      <w:r w:rsidRPr="00CF4230">
        <w:rPr>
          <w:bCs/>
          <w:color w:val="000000" w:themeColor="text1"/>
          <w:szCs w:val="20"/>
        </w:rPr>
        <w:t>з МСБО (IAS) 36).</w:t>
      </w:r>
    </w:p>
    <w:p w14:paraId="536847FB" w14:textId="737B3959" w:rsidR="000C2A4B" w:rsidRPr="00CF4230" w:rsidRDefault="000C2A4B" w:rsidP="002F4997">
      <w:pPr>
        <w:pStyle w:val="2"/>
        <w:rPr>
          <w:color w:val="000000" w:themeColor="text1"/>
        </w:rPr>
      </w:pPr>
      <w:r w:rsidRPr="00CF4230">
        <w:rPr>
          <w:color w:val="000000" w:themeColor="text1"/>
        </w:rPr>
        <w:t>Фінансові активи</w:t>
      </w:r>
      <w:bookmarkEnd w:id="74"/>
    </w:p>
    <w:p w14:paraId="4A7B01EC" w14:textId="48EC1C12" w:rsidR="00AE4DCD" w:rsidRPr="00CF4230" w:rsidRDefault="00AE4DCD" w:rsidP="00AE4DCD">
      <w:pPr>
        <w:rPr>
          <w:color w:val="000000" w:themeColor="text1"/>
        </w:rPr>
      </w:pPr>
      <w:r w:rsidRPr="00CF4230">
        <w:rPr>
          <w:color w:val="000000" w:themeColor="text1"/>
        </w:rPr>
        <w:t>Класифікація фінансових активів залежить від бізнес моделі Компанії з управління фінансовими активами і установленими договором характеристиками грошових потоків за фінансовим активом.</w:t>
      </w:r>
    </w:p>
    <w:p w14:paraId="56E2EB39" w14:textId="42DEDF97" w:rsidR="00AE4DCD" w:rsidRPr="00CF4230" w:rsidRDefault="000C2A4B" w:rsidP="000C2A4B">
      <w:pPr>
        <w:widowControl w:val="0"/>
        <w:spacing w:before="120" w:after="120"/>
        <w:rPr>
          <w:color w:val="000000" w:themeColor="text1"/>
          <w:szCs w:val="20"/>
        </w:rPr>
      </w:pPr>
      <w:r w:rsidRPr="00CF4230">
        <w:rPr>
          <w:color w:val="000000" w:themeColor="text1"/>
          <w:szCs w:val="20"/>
        </w:rPr>
        <w:t xml:space="preserve">Фінансові активи класифікуються за наступними категоріями: </w:t>
      </w:r>
    </w:p>
    <w:p w14:paraId="7B346FC1" w14:textId="5B178BE1" w:rsidR="00AE4DCD" w:rsidRPr="00CF4230" w:rsidRDefault="00AE4DCD" w:rsidP="00AE4DCD">
      <w:pPr>
        <w:pStyle w:val="af0"/>
        <w:widowControl w:val="0"/>
        <w:numPr>
          <w:ilvl w:val="0"/>
          <w:numId w:val="28"/>
        </w:numPr>
        <w:spacing w:before="120" w:after="120"/>
        <w:rPr>
          <w:color w:val="000000" w:themeColor="text1"/>
          <w:szCs w:val="20"/>
        </w:rPr>
      </w:pPr>
      <w:r w:rsidRPr="00CF4230">
        <w:rPr>
          <w:color w:val="000000" w:themeColor="text1"/>
          <w:szCs w:val="20"/>
        </w:rPr>
        <w:t>за амортизованою собівартістю;</w:t>
      </w:r>
    </w:p>
    <w:p w14:paraId="0D91950B" w14:textId="7F0E4E73" w:rsidR="00AE4DCD" w:rsidRPr="00CF4230" w:rsidRDefault="00AE4DCD" w:rsidP="00AE4DCD">
      <w:pPr>
        <w:pStyle w:val="af0"/>
        <w:widowControl w:val="0"/>
        <w:numPr>
          <w:ilvl w:val="0"/>
          <w:numId w:val="28"/>
        </w:numPr>
        <w:spacing w:before="120" w:after="120"/>
        <w:rPr>
          <w:color w:val="000000" w:themeColor="text1"/>
          <w:szCs w:val="20"/>
        </w:rPr>
      </w:pPr>
      <w:r w:rsidRPr="00CF4230">
        <w:rPr>
          <w:color w:val="000000" w:themeColor="text1"/>
          <w:szCs w:val="20"/>
        </w:rPr>
        <w:t>за справедливою вартістю через інший сукупний дохід;</w:t>
      </w:r>
    </w:p>
    <w:p w14:paraId="62E49C51" w14:textId="25EFED9D" w:rsidR="00AE4DCD" w:rsidRPr="00CF4230" w:rsidRDefault="00AE4DCD" w:rsidP="00AE4DCD">
      <w:pPr>
        <w:pStyle w:val="af0"/>
        <w:widowControl w:val="0"/>
        <w:numPr>
          <w:ilvl w:val="0"/>
          <w:numId w:val="28"/>
        </w:numPr>
        <w:spacing w:before="120" w:after="120"/>
        <w:rPr>
          <w:color w:val="000000" w:themeColor="text1"/>
          <w:szCs w:val="20"/>
        </w:rPr>
      </w:pPr>
      <w:r w:rsidRPr="00CF4230">
        <w:rPr>
          <w:color w:val="000000" w:themeColor="text1"/>
          <w:szCs w:val="20"/>
        </w:rPr>
        <w:t>за справедливою вартістю через прибуток або збиток.</w:t>
      </w:r>
    </w:p>
    <w:p w14:paraId="34294879" w14:textId="5DC4F1EB" w:rsidR="00AE4DCD" w:rsidRPr="00CF4230" w:rsidRDefault="00AE4DCD" w:rsidP="00AE4DCD">
      <w:pPr>
        <w:pStyle w:val="3"/>
        <w:rPr>
          <w:color w:val="000000" w:themeColor="text1"/>
        </w:rPr>
      </w:pPr>
      <w:r w:rsidRPr="00CF4230">
        <w:rPr>
          <w:color w:val="000000" w:themeColor="text1"/>
        </w:rPr>
        <w:t xml:space="preserve">Фінансові активи за </w:t>
      </w:r>
      <w:r w:rsidR="005C297A" w:rsidRPr="00CF4230">
        <w:rPr>
          <w:color w:val="000000" w:themeColor="text1"/>
        </w:rPr>
        <w:t>амортизованою собівартістю</w:t>
      </w:r>
    </w:p>
    <w:p w14:paraId="0557B348" w14:textId="68EF5832" w:rsidR="005C297A" w:rsidRPr="00CF4230" w:rsidRDefault="00AE4DCD" w:rsidP="00AE4DCD">
      <w:pPr>
        <w:widowControl w:val="0"/>
        <w:spacing w:before="120" w:after="120"/>
        <w:rPr>
          <w:color w:val="000000" w:themeColor="text1"/>
          <w:szCs w:val="20"/>
        </w:rPr>
      </w:pPr>
      <w:r w:rsidRPr="00CF4230">
        <w:rPr>
          <w:color w:val="000000" w:themeColor="text1"/>
          <w:szCs w:val="20"/>
        </w:rPr>
        <w:t xml:space="preserve">Фінансовий актив </w:t>
      </w:r>
      <w:r w:rsidR="005C297A" w:rsidRPr="00CF4230">
        <w:rPr>
          <w:color w:val="000000" w:themeColor="text1"/>
          <w:szCs w:val="20"/>
        </w:rPr>
        <w:t>оцінюється за амортизованою собівартістю в разі одночасного дотримання обох зазначених нижче умов:</w:t>
      </w:r>
    </w:p>
    <w:p w14:paraId="58F1CEE7" w14:textId="0A8A3A6C" w:rsidR="00AF6374" w:rsidRPr="00CF4230" w:rsidRDefault="005C297A" w:rsidP="00DC3AA5">
      <w:pPr>
        <w:pStyle w:val="af0"/>
        <w:widowControl w:val="0"/>
        <w:numPr>
          <w:ilvl w:val="0"/>
          <w:numId w:val="28"/>
        </w:numPr>
        <w:spacing w:before="120" w:after="120"/>
        <w:rPr>
          <w:color w:val="000000" w:themeColor="text1"/>
          <w:szCs w:val="20"/>
        </w:rPr>
      </w:pPr>
      <w:r w:rsidRPr="00CF4230">
        <w:rPr>
          <w:color w:val="000000" w:themeColor="text1"/>
          <w:szCs w:val="20"/>
        </w:rPr>
        <w:t>фінансовий актив утримується в рамках бізнес-моделі, метою якої є утримання фінансових активів для одержання договірних грошових потоків; і</w:t>
      </w:r>
    </w:p>
    <w:p w14:paraId="40A4BBF9" w14:textId="5FAED61D" w:rsidR="005C297A" w:rsidRPr="00CF4230" w:rsidRDefault="005C297A" w:rsidP="005C297A">
      <w:pPr>
        <w:pStyle w:val="af0"/>
        <w:widowControl w:val="0"/>
        <w:numPr>
          <w:ilvl w:val="0"/>
          <w:numId w:val="28"/>
        </w:numPr>
        <w:spacing w:before="120" w:after="120"/>
        <w:rPr>
          <w:color w:val="000000" w:themeColor="text1"/>
          <w:szCs w:val="20"/>
        </w:rPr>
      </w:pPr>
      <w:r w:rsidRPr="00CF4230">
        <w:rPr>
          <w:color w:val="000000" w:themeColor="text1"/>
          <w:szCs w:val="20"/>
        </w:rPr>
        <w:t xml:space="preserve">договірні умови фінансового активу генерують у певні дати грошові потоки, котрі є суто виплатами основної суми </w:t>
      </w:r>
      <w:r w:rsidR="00AF6374" w:rsidRPr="00CF4230">
        <w:rPr>
          <w:color w:val="000000" w:themeColor="text1"/>
          <w:szCs w:val="20"/>
        </w:rPr>
        <w:t xml:space="preserve">та </w:t>
      </w:r>
      <w:r w:rsidRPr="00CF4230">
        <w:rPr>
          <w:color w:val="000000" w:themeColor="text1"/>
          <w:szCs w:val="20"/>
        </w:rPr>
        <w:t>процентів на непогашену частину основної суми.</w:t>
      </w:r>
    </w:p>
    <w:p w14:paraId="15E187A0" w14:textId="77777777" w:rsidR="005C297A" w:rsidRPr="00CF4230" w:rsidRDefault="005C297A" w:rsidP="005C297A">
      <w:pPr>
        <w:widowControl w:val="0"/>
        <w:spacing w:before="120" w:after="120"/>
        <w:rPr>
          <w:color w:val="000000" w:themeColor="text1"/>
          <w:szCs w:val="20"/>
        </w:rPr>
      </w:pPr>
      <w:r w:rsidRPr="00CF4230">
        <w:rPr>
          <w:color w:val="000000" w:themeColor="text1"/>
          <w:szCs w:val="20"/>
        </w:rPr>
        <w:t>Метод ефективної ставки відсотка використовується для розрахунку амортизованої вартості фінансового активу (зобов’язання) та розподілу відсоткових доходів (витрат) протягом відповідного періоду. Ефективна ставка відсотка – це ставка, яка точно дисконтує очікувані майбутні грошові надходження (виплати) грошових коштів (включаючи всі отримані або сплачені гонорари за договорами, які становлять невід’ємну частину ефективної ставки відсотка, витрати на операцію та інші премії або дисконти) протягом очікуваного строку використання фінансового активу (зобов’язання) або (якщо доцільно) коротшого строку, до чистої  балансової вартості на момент їхнього первісного визнання.</w:t>
      </w:r>
    </w:p>
    <w:p w14:paraId="791DBF5C" w14:textId="0C50485E" w:rsidR="005C297A" w:rsidRPr="00CF4230" w:rsidRDefault="005C297A" w:rsidP="005C297A">
      <w:pPr>
        <w:widowControl w:val="0"/>
        <w:spacing w:before="120" w:after="120"/>
        <w:rPr>
          <w:color w:val="000000" w:themeColor="text1"/>
          <w:szCs w:val="20"/>
        </w:rPr>
      </w:pPr>
      <w:r w:rsidRPr="00CF4230">
        <w:rPr>
          <w:color w:val="000000" w:themeColor="text1"/>
          <w:szCs w:val="20"/>
        </w:rPr>
        <w:t>Доходи за борговими інструментами відображаються за методом ефективної ставки відсотка, за виключенням фінансових активів, оцінених за справедливою вартістю через прибутки або збитки.</w:t>
      </w:r>
    </w:p>
    <w:p w14:paraId="0C86E54F" w14:textId="4EA74D63" w:rsidR="005C297A" w:rsidRPr="00CF4230" w:rsidRDefault="001874D3" w:rsidP="002F4997">
      <w:pPr>
        <w:pStyle w:val="3"/>
        <w:rPr>
          <w:color w:val="000000" w:themeColor="text1"/>
        </w:rPr>
      </w:pPr>
      <w:bookmarkStart w:id="75" w:name="_Toc501620065"/>
      <w:r w:rsidRPr="00CF4230">
        <w:rPr>
          <w:color w:val="000000" w:themeColor="text1"/>
        </w:rPr>
        <w:t>Позики і дебіторська заборгованість</w:t>
      </w:r>
    </w:p>
    <w:p w14:paraId="0350A3DD" w14:textId="7382925B" w:rsidR="001874D3" w:rsidRPr="00CF4230" w:rsidRDefault="001874D3" w:rsidP="001874D3">
      <w:pPr>
        <w:spacing w:before="120" w:after="120"/>
        <w:rPr>
          <w:color w:val="000000" w:themeColor="text1"/>
          <w:szCs w:val="20"/>
        </w:rPr>
      </w:pPr>
      <w:r w:rsidRPr="00CF4230">
        <w:rPr>
          <w:color w:val="000000" w:themeColor="text1"/>
        </w:rPr>
        <w:t xml:space="preserve">Позики і дебіторська заборгованість – це похідні фінансові активи з фіксованими платежами або платежами, які підлягають визначенню, що не котирується на активному ринку. Позики і дебіторська заборгованість (включаючи торгівельну та іншу дебіторську заборгованість, кошти в банках та касі, а також інші) обліковуються за амортизованою вартістю з використання методу </w:t>
      </w:r>
      <w:r w:rsidRPr="00CF4230">
        <w:rPr>
          <w:color w:val="000000" w:themeColor="text1"/>
          <w:szCs w:val="20"/>
        </w:rPr>
        <w:t>ефективної ставки відсотка за вирахуванням зменшення корисності.</w:t>
      </w:r>
    </w:p>
    <w:p w14:paraId="73359DD3" w14:textId="5330DB80" w:rsidR="001874D3" w:rsidRPr="00CF4230" w:rsidRDefault="001874D3" w:rsidP="001874D3">
      <w:pPr>
        <w:spacing w:before="120" w:after="120"/>
        <w:rPr>
          <w:color w:val="000000" w:themeColor="text1"/>
          <w:szCs w:val="20"/>
        </w:rPr>
      </w:pPr>
      <w:r w:rsidRPr="00CF4230">
        <w:rPr>
          <w:color w:val="000000" w:themeColor="text1"/>
          <w:szCs w:val="20"/>
        </w:rPr>
        <w:t>Доходи з відсотків визнаються із застосуванням ефективної ставки відсотка, за винятком короткострокої дебіторської заборгованості, для якої визнання відсотків не буде мати істотного впливу.</w:t>
      </w:r>
    </w:p>
    <w:p w14:paraId="4438D3A6" w14:textId="32CF273D" w:rsidR="00AF6374" w:rsidRPr="00CF4230" w:rsidRDefault="00AF6374" w:rsidP="00AF6374">
      <w:pPr>
        <w:pStyle w:val="3"/>
        <w:rPr>
          <w:color w:val="000000" w:themeColor="text1"/>
        </w:rPr>
      </w:pPr>
      <w:r w:rsidRPr="00CF4230">
        <w:rPr>
          <w:color w:val="000000" w:themeColor="text1"/>
        </w:rPr>
        <w:lastRenderedPageBreak/>
        <w:t>Фінансові активи, за справедливою вартістю через інший сукупний дохід</w:t>
      </w:r>
    </w:p>
    <w:p w14:paraId="16FD777E" w14:textId="6D962D94" w:rsidR="00AF6374" w:rsidRPr="00CF4230" w:rsidRDefault="00AF6374" w:rsidP="00AF6374">
      <w:pPr>
        <w:widowControl w:val="0"/>
        <w:spacing w:before="120" w:after="120"/>
        <w:rPr>
          <w:color w:val="000000" w:themeColor="text1"/>
          <w:szCs w:val="20"/>
        </w:rPr>
      </w:pPr>
      <w:r w:rsidRPr="00CF4230">
        <w:rPr>
          <w:color w:val="000000" w:themeColor="text1"/>
          <w:szCs w:val="20"/>
        </w:rPr>
        <w:t>Фінансовий актив оцінюється за справедливою вартістю через інший сукупний дохід у разі одночасного дотримання обох зазначених нижче умов:</w:t>
      </w:r>
    </w:p>
    <w:p w14:paraId="65325E96" w14:textId="03BD3191" w:rsidR="00AF6374" w:rsidRPr="00CF4230" w:rsidRDefault="00AF6374" w:rsidP="00DC3AA5">
      <w:pPr>
        <w:pStyle w:val="af0"/>
        <w:widowControl w:val="0"/>
        <w:numPr>
          <w:ilvl w:val="0"/>
          <w:numId w:val="28"/>
        </w:numPr>
        <w:spacing w:before="120" w:after="120"/>
        <w:ind w:left="714" w:hanging="357"/>
        <w:rPr>
          <w:color w:val="000000" w:themeColor="text1"/>
          <w:szCs w:val="20"/>
        </w:rPr>
      </w:pPr>
      <w:r w:rsidRPr="00CF4230">
        <w:rPr>
          <w:color w:val="000000" w:themeColor="text1"/>
          <w:szCs w:val="20"/>
        </w:rPr>
        <w:t>фінансовий актив утримується в рамках бізнес-моделі, метою якої досягається шляхом одержання договірних грошових потоків, так і шляхом продажів фінансових активів; і</w:t>
      </w:r>
    </w:p>
    <w:p w14:paraId="1DD869EC" w14:textId="697E78F2" w:rsidR="00AF6374" w:rsidRPr="00CF4230" w:rsidRDefault="00AF6374" w:rsidP="00AF6374">
      <w:pPr>
        <w:pStyle w:val="af0"/>
        <w:widowControl w:val="0"/>
        <w:numPr>
          <w:ilvl w:val="0"/>
          <w:numId w:val="28"/>
        </w:numPr>
        <w:spacing w:before="120" w:after="120"/>
        <w:rPr>
          <w:color w:val="000000" w:themeColor="text1"/>
          <w:szCs w:val="20"/>
        </w:rPr>
      </w:pPr>
      <w:r w:rsidRPr="00CF4230">
        <w:rPr>
          <w:color w:val="000000" w:themeColor="text1"/>
          <w:szCs w:val="20"/>
        </w:rPr>
        <w:t>договірні умови фінансового активу генерують у певні дати грошові потоки, котрі є суто виплатами основної суми та процентів на непогашену частину основної суми.</w:t>
      </w:r>
    </w:p>
    <w:p w14:paraId="69263D38" w14:textId="77777777" w:rsidR="00AF6374" w:rsidRPr="00CF4230" w:rsidRDefault="00AF6374" w:rsidP="00AF6374">
      <w:pPr>
        <w:pStyle w:val="HTML"/>
        <w:widowControl w:val="0"/>
        <w:shd w:val="clear" w:color="auto" w:fill="FFFFFF"/>
        <w:spacing w:before="120" w:after="120"/>
        <w:jc w:val="both"/>
        <w:rPr>
          <w:rFonts w:ascii="Arial" w:hAnsi="Arial" w:cs="Arial"/>
          <w:color w:val="000000" w:themeColor="text1"/>
          <w:lang w:val="uk-UA"/>
        </w:rPr>
      </w:pPr>
      <w:r w:rsidRPr="00CF4230">
        <w:rPr>
          <w:rFonts w:ascii="Arial" w:hAnsi="Arial" w:cs="Arial"/>
          <w:color w:val="000000" w:themeColor="text1"/>
          <w:lang w:val="uk-UA"/>
        </w:rPr>
        <w:t>Вкладення в пайові цінні папери, наявні для продажу, за якими немає котируваних  ринкових цін на активному ринку, і справедлива вартість яких не може бути надійно оцінена, а також пов'язані з ними похідні фінансові інструменти, розрахунки за якими повинні проводитися шляхом поставки не котируваних пайових цінних паперів, оцінюються за собівартістю за вирахуванням збитків від зменшення корисності, визначених на кожну звітну дату.</w:t>
      </w:r>
    </w:p>
    <w:p w14:paraId="1F4AAC17" w14:textId="3C1B2F4F" w:rsidR="000C2A4B" w:rsidRPr="00CF4230" w:rsidRDefault="000C2A4B" w:rsidP="002F4997">
      <w:pPr>
        <w:pStyle w:val="3"/>
        <w:rPr>
          <w:color w:val="000000" w:themeColor="text1"/>
        </w:rPr>
      </w:pPr>
      <w:r w:rsidRPr="00CF4230">
        <w:rPr>
          <w:color w:val="000000" w:themeColor="text1"/>
        </w:rPr>
        <w:t>Ф</w:t>
      </w:r>
      <w:r w:rsidR="00AF6374" w:rsidRPr="00CF4230">
        <w:rPr>
          <w:color w:val="000000" w:themeColor="text1"/>
        </w:rPr>
        <w:t xml:space="preserve">інансові активи, </w:t>
      </w:r>
      <w:r w:rsidRPr="00CF4230">
        <w:rPr>
          <w:color w:val="000000" w:themeColor="text1"/>
        </w:rPr>
        <w:t>за справедливою вартістю через прибут</w:t>
      </w:r>
      <w:r w:rsidR="00640BDC" w:rsidRPr="00CF4230">
        <w:rPr>
          <w:color w:val="000000" w:themeColor="text1"/>
        </w:rPr>
        <w:t>ок</w:t>
      </w:r>
      <w:r w:rsidRPr="00CF4230">
        <w:rPr>
          <w:color w:val="000000" w:themeColor="text1"/>
        </w:rPr>
        <w:t xml:space="preserve"> або збит</w:t>
      </w:r>
      <w:bookmarkEnd w:id="75"/>
      <w:r w:rsidR="00640BDC" w:rsidRPr="00CF4230">
        <w:rPr>
          <w:color w:val="000000" w:themeColor="text1"/>
        </w:rPr>
        <w:t>ок</w:t>
      </w:r>
    </w:p>
    <w:p w14:paraId="6A0D04D9" w14:textId="77777777" w:rsidR="00AF6374" w:rsidRPr="00CF4230" w:rsidRDefault="000C2A4B" w:rsidP="000C2A4B">
      <w:pPr>
        <w:widowControl w:val="0"/>
        <w:spacing w:before="120" w:after="120"/>
        <w:rPr>
          <w:color w:val="000000" w:themeColor="text1"/>
          <w:szCs w:val="20"/>
        </w:rPr>
      </w:pPr>
      <w:r w:rsidRPr="00CF4230">
        <w:rPr>
          <w:color w:val="000000" w:themeColor="text1"/>
          <w:szCs w:val="20"/>
        </w:rPr>
        <w:t xml:space="preserve">Фінансовий актив </w:t>
      </w:r>
    </w:p>
    <w:p w14:paraId="5B76A43C" w14:textId="41CB024F" w:rsidR="000C2A4B" w:rsidRPr="00CF4230" w:rsidRDefault="00640BDC" w:rsidP="000C2A4B">
      <w:pPr>
        <w:widowControl w:val="0"/>
        <w:spacing w:before="120" w:after="120"/>
        <w:rPr>
          <w:color w:val="000000" w:themeColor="text1"/>
          <w:szCs w:val="20"/>
        </w:rPr>
      </w:pPr>
      <w:r w:rsidRPr="00CF4230">
        <w:rPr>
          <w:color w:val="000000" w:themeColor="text1"/>
          <w:szCs w:val="20"/>
        </w:rPr>
        <w:t>Фінансовий актив</w:t>
      </w:r>
      <w:r w:rsidR="000C2A4B" w:rsidRPr="00CF4230">
        <w:rPr>
          <w:color w:val="000000" w:themeColor="text1"/>
          <w:szCs w:val="20"/>
        </w:rPr>
        <w:t xml:space="preserve"> оцінюється за справедливою вартістю через прибут</w:t>
      </w:r>
      <w:r w:rsidR="00DC3AA5" w:rsidRPr="00CF4230">
        <w:rPr>
          <w:color w:val="000000" w:themeColor="text1"/>
          <w:szCs w:val="20"/>
        </w:rPr>
        <w:t>ок</w:t>
      </w:r>
      <w:r w:rsidR="000C2A4B" w:rsidRPr="00CF4230">
        <w:rPr>
          <w:color w:val="000000" w:themeColor="text1"/>
          <w:szCs w:val="20"/>
        </w:rPr>
        <w:t xml:space="preserve"> або збит</w:t>
      </w:r>
      <w:r w:rsidRPr="00CF4230">
        <w:rPr>
          <w:color w:val="000000" w:themeColor="text1"/>
          <w:szCs w:val="20"/>
        </w:rPr>
        <w:t xml:space="preserve">ок якщо він не оцінюється за амортизованою собівартістю або за </w:t>
      </w:r>
      <w:r w:rsidR="000C2A4B" w:rsidRPr="00CF4230">
        <w:rPr>
          <w:color w:val="000000" w:themeColor="text1"/>
          <w:szCs w:val="20"/>
        </w:rPr>
        <w:t xml:space="preserve">справедливою вартістю </w:t>
      </w:r>
      <w:r w:rsidRPr="00CF4230">
        <w:rPr>
          <w:color w:val="000000" w:themeColor="text1"/>
          <w:szCs w:val="20"/>
        </w:rPr>
        <w:t>через інший сукупний дохід.</w:t>
      </w:r>
    </w:p>
    <w:p w14:paraId="0B8B3948" w14:textId="77777777" w:rsidR="00DC3AA5" w:rsidRPr="00CF4230" w:rsidRDefault="00DC3AA5" w:rsidP="00DC3AA5">
      <w:pPr>
        <w:pStyle w:val="3"/>
        <w:rPr>
          <w:color w:val="000000" w:themeColor="text1"/>
        </w:rPr>
      </w:pPr>
      <w:r w:rsidRPr="00CF4230">
        <w:rPr>
          <w:color w:val="000000" w:themeColor="text1"/>
        </w:rPr>
        <w:t>Знецінення фінансових активів</w:t>
      </w:r>
    </w:p>
    <w:p w14:paraId="5001FE20" w14:textId="0E6009AA" w:rsidR="00DC3AA5" w:rsidRPr="00CF4230" w:rsidRDefault="00DC3AA5" w:rsidP="00DC3AA5">
      <w:pPr>
        <w:pStyle w:val="HTML"/>
        <w:widowControl w:val="0"/>
        <w:shd w:val="clear" w:color="auto" w:fill="FFFFFF"/>
        <w:spacing w:before="120" w:after="120"/>
        <w:jc w:val="both"/>
        <w:rPr>
          <w:rFonts w:ascii="Arial" w:hAnsi="Arial" w:cs="Arial"/>
          <w:color w:val="000000" w:themeColor="text1"/>
          <w:lang w:val="uk-UA"/>
        </w:rPr>
      </w:pPr>
      <w:r w:rsidRPr="00CF4230">
        <w:rPr>
          <w:rFonts w:ascii="Arial" w:hAnsi="Arial" w:cs="Arial"/>
          <w:color w:val="000000" w:themeColor="text1"/>
          <w:lang w:val="uk-UA"/>
        </w:rPr>
        <w:t>Компанія визнає резерв під збитки для очікуваних кредитних збитків за фінансовим активом, за винятком оцінюваних за справедливою вартістю через прибутки та збитки.</w:t>
      </w:r>
    </w:p>
    <w:p w14:paraId="52BDD689" w14:textId="6BA2EB01" w:rsidR="00DC3AA5" w:rsidRPr="00CF4230" w:rsidRDefault="00DC3AA5" w:rsidP="00DC3AA5">
      <w:pPr>
        <w:pStyle w:val="af0"/>
        <w:widowControl w:val="0"/>
        <w:spacing w:before="120" w:after="120"/>
        <w:ind w:left="0"/>
        <w:contextualSpacing w:val="0"/>
        <w:rPr>
          <w:color w:val="000000" w:themeColor="text1"/>
          <w:szCs w:val="20"/>
        </w:rPr>
      </w:pPr>
      <w:r w:rsidRPr="00CF4230">
        <w:rPr>
          <w:color w:val="000000" w:themeColor="text1"/>
          <w:szCs w:val="20"/>
        </w:rPr>
        <w:t>Для фінансових активів, які обліковуються за амортизованою вартістю, сумою резерву є різниця між балансовою вартістю та теперішньою вартістю очікуваних майбутніх потоків грошових коштів, дисконтованих за первісною ефективною ставкою відсотка для цього фінансового активу.</w:t>
      </w:r>
    </w:p>
    <w:p w14:paraId="36011091" w14:textId="77777777" w:rsidR="00DC3AA5" w:rsidRPr="00CF4230" w:rsidRDefault="00DC3AA5" w:rsidP="00DC3AA5">
      <w:pPr>
        <w:pStyle w:val="3"/>
        <w:rPr>
          <w:color w:val="000000" w:themeColor="text1"/>
          <w:szCs w:val="20"/>
        </w:rPr>
      </w:pPr>
      <w:bookmarkStart w:id="76" w:name="_Toc501620068"/>
      <w:r w:rsidRPr="00CF4230">
        <w:rPr>
          <w:rStyle w:val="42"/>
          <w:color w:val="000000" w:themeColor="text1"/>
          <w:sz w:val="20"/>
          <w:szCs w:val="20"/>
          <w:u w:val="none"/>
          <w:lang w:val="uk-UA"/>
        </w:rPr>
        <w:t>Припинення визнання фінансових активів</w:t>
      </w:r>
    </w:p>
    <w:p w14:paraId="61E564AA" w14:textId="77777777" w:rsidR="00DC3AA5" w:rsidRPr="00CF4230" w:rsidRDefault="00DC3AA5" w:rsidP="00DC3AA5">
      <w:pPr>
        <w:pStyle w:val="HTML"/>
        <w:widowControl w:val="0"/>
        <w:shd w:val="clear" w:color="auto" w:fill="FFFFFF"/>
        <w:spacing w:before="120" w:after="120"/>
        <w:jc w:val="both"/>
        <w:rPr>
          <w:rFonts w:ascii="Arial" w:hAnsi="Arial" w:cs="Arial"/>
          <w:color w:val="000000" w:themeColor="text1"/>
          <w:lang w:val="uk-UA"/>
        </w:rPr>
      </w:pPr>
      <w:r w:rsidRPr="00CF4230">
        <w:rPr>
          <w:rFonts w:ascii="Arial" w:hAnsi="Arial" w:cs="Arial"/>
          <w:color w:val="000000" w:themeColor="text1"/>
          <w:lang w:val="uk-UA"/>
        </w:rPr>
        <w:t xml:space="preserve">Компанії припиняє визнавати фінансові активи лише в тих випадках, коли припиняють свою дію договірні права на грошові потоки від цього активу; або ж коли вона передає фінансовий актив і всі істотні ризики й вигоди, пов’язані з володінням цим активом, третій особам. Якщо Компанії не передає і не залишає за собою всі істотні ризики й вигоди, пов’язані з володінням активом, і продовжує контролювати переданий актив, тоді вона визнає свою частку в цьому активі та пов’язане з ним зобов’язання на суму, яку їй, можливо, потрібно буде заплатити. Якщо Компанії зберігає всі істотні ризики й вигоди, пов’язані з володінням переданим фінансовим активом, вона продовжує визнавати цей фінансовий актив, а також визнає забезпечені заставою суми кредитів у розмірі отриманих надходжень.   </w:t>
      </w:r>
    </w:p>
    <w:p w14:paraId="3853AD5E" w14:textId="77777777" w:rsidR="00DC3AA5" w:rsidRPr="00CF4230" w:rsidRDefault="00DC3AA5" w:rsidP="00DC3AA5">
      <w:pPr>
        <w:pStyle w:val="HTML"/>
        <w:widowControl w:val="0"/>
        <w:shd w:val="clear" w:color="auto" w:fill="FFFFFF"/>
        <w:spacing w:before="120" w:after="120"/>
        <w:jc w:val="both"/>
        <w:rPr>
          <w:rFonts w:ascii="Arial" w:hAnsi="Arial" w:cs="Arial"/>
          <w:color w:val="000000" w:themeColor="text1"/>
          <w:lang w:val="uk-UA"/>
        </w:rPr>
      </w:pPr>
      <w:r w:rsidRPr="00CF4230">
        <w:rPr>
          <w:rFonts w:ascii="Arial" w:hAnsi="Arial" w:cs="Arial"/>
          <w:color w:val="000000" w:themeColor="text1"/>
          <w:lang w:val="uk-UA"/>
        </w:rPr>
        <w:t>При повному припиненні визнання фінансового активу різниця між його балансовою вартістю та сумою отриманої і належної до отримання компенсації, а також зміни, накопичені в іншому сукупному прибутку, відображаються в прибутку або збитках.</w:t>
      </w:r>
    </w:p>
    <w:p w14:paraId="7D2EC04B" w14:textId="77777777" w:rsidR="00DC3AA5" w:rsidRPr="00CF4230" w:rsidRDefault="00DC3AA5" w:rsidP="00DC3AA5">
      <w:pPr>
        <w:pStyle w:val="HTML"/>
        <w:widowControl w:val="0"/>
        <w:shd w:val="clear" w:color="auto" w:fill="FFFFFF"/>
        <w:spacing w:before="120" w:after="120"/>
        <w:jc w:val="both"/>
        <w:rPr>
          <w:rFonts w:ascii="Arial" w:hAnsi="Arial" w:cs="Arial"/>
          <w:color w:val="000000" w:themeColor="text1"/>
          <w:lang w:val="uk-UA"/>
        </w:rPr>
      </w:pPr>
      <w:r w:rsidRPr="00CF4230">
        <w:rPr>
          <w:rFonts w:ascii="Arial" w:hAnsi="Arial" w:cs="Arial"/>
          <w:color w:val="000000" w:themeColor="text1"/>
          <w:lang w:val="uk-UA"/>
        </w:rPr>
        <w:t>Якщо визнання фінансового активу припиняється не в повному обсязі (наприклад, коли Компанії зберігає можливість викупити частину переданого активу), Компанії розподіляє балансову вартість фінансового активу між частиною, яку вона продовжує визнавати у зв’язку із продовженням участі в ньому, та частиною, яку вона більше не визнає, на основі відносної справедливої вартості цих частин на дату передачі. Різниця між балансовою вартістю, розподіленою на частину, яка більше не визнається, і сумою отриманої компенсації за частину, яка більше не визнається, та будь-яким накопиченим прибутком або збитком, розподіленим на неї, який був визнаний у складі інших сукупних доходів, визнається у складі прибутку або збитку. Накопичений прибуток або збиток, який був раніше визнаний у складі інших сукупних доходів, розподіляється між частиною, яка продовжує визнаватися, та частиною, яка більше не визнається на основі відносної справедливої вартості цих частин.</w:t>
      </w:r>
    </w:p>
    <w:p w14:paraId="42D2D6B6" w14:textId="77777777" w:rsidR="000C2A4B" w:rsidRPr="00CF4230" w:rsidRDefault="000C2A4B" w:rsidP="002F4997">
      <w:pPr>
        <w:pStyle w:val="2"/>
        <w:rPr>
          <w:color w:val="000000" w:themeColor="text1"/>
        </w:rPr>
      </w:pPr>
      <w:bookmarkStart w:id="77" w:name="_Toc501620071"/>
      <w:bookmarkEnd w:id="76"/>
      <w:r w:rsidRPr="00CF4230">
        <w:rPr>
          <w:color w:val="000000" w:themeColor="text1"/>
        </w:rPr>
        <w:t>Фінансові зобов’язання та інструменти власного капіталу</w:t>
      </w:r>
      <w:bookmarkEnd w:id="77"/>
    </w:p>
    <w:p w14:paraId="2D83EF31" w14:textId="77777777" w:rsidR="000C2A4B" w:rsidRPr="00947E28" w:rsidRDefault="000C2A4B" w:rsidP="002F4997">
      <w:pPr>
        <w:pStyle w:val="3"/>
        <w:rPr>
          <w:color w:val="000000" w:themeColor="text1"/>
          <w:szCs w:val="20"/>
        </w:rPr>
      </w:pPr>
      <w:r w:rsidRPr="00947E28">
        <w:rPr>
          <w:rStyle w:val="42"/>
          <w:color w:val="000000" w:themeColor="text1"/>
          <w:sz w:val="20"/>
          <w:szCs w:val="20"/>
          <w:u w:val="none"/>
          <w:lang w:val="uk-UA"/>
        </w:rPr>
        <w:t xml:space="preserve"> </w:t>
      </w:r>
      <w:bookmarkStart w:id="78" w:name="_Toc501620072"/>
      <w:r w:rsidRPr="00947E28">
        <w:rPr>
          <w:rStyle w:val="42"/>
          <w:color w:val="000000" w:themeColor="text1"/>
          <w:sz w:val="20"/>
          <w:szCs w:val="20"/>
          <w:u w:val="none"/>
          <w:lang w:val="uk-UA"/>
        </w:rPr>
        <w:t>Класифікація на боргові зобов’язання або інструменти власного капіталу</w:t>
      </w:r>
      <w:bookmarkEnd w:id="78"/>
      <w:r w:rsidRPr="00947E28">
        <w:rPr>
          <w:rStyle w:val="42"/>
          <w:color w:val="000000" w:themeColor="text1"/>
          <w:sz w:val="20"/>
          <w:szCs w:val="20"/>
          <w:u w:val="none"/>
          <w:lang w:val="uk-UA"/>
        </w:rPr>
        <w:t xml:space="preserve"> </w:t>
      </w:r>
    </w:p>
    <w:p w14:paraId="397BF3EE" w14:textId="77777777" w:rsidR="000C2A4B" w:rsidRPr="00CF4230" w:rsidRDefault="000C2A4B" w:rsidP="000C2A4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CF4230">
        <w:rPr>
          <w:color w:val="000000" w:themeColor="text1"/>
          <w:szCs w:val="20"/>
        </w:rPr>
        <w:t xml:space="preserve">Боргові інструменти та інструменти власного капіталу, випущені Компанією, класифікуються як фінансові зобов'язання або як власний капітал залежно від сутності договірних відносин, а також </w:t>
      </w:r>
      <w:r w:rsidRPr="00CF4230">
        <w:rPr>
          <w:color w:val="000000" w:themeColor="text1"/>
          <w:szCs w:val="20"/>
        </w:rPr>
        <w:lastRenderedPageBreak/>
        <w:t>визначень фінансового зобов'язання та інструмента власного капіталу.</w:t>
      </w:r>
    </w:p>
    <w:p w14:paraId="6349D616" w14:textId="77777777" w:rsidR="000C2A4B" w:rsidRPr="00CF4230" w:rsidRDefault="000C2A4B" w:rsidP="002F4997">
      <w:pPr>
        <w:pStyle w:val="3"/>
        <w:rPr>
          <w:rStyle w:val="42"/>
          <w:color w:val="000000" w:themeColor="text1"/>
          <w:sz w:val="20"/>
          <w:szCs w:val="28"/>
          <w:u w:val="none"/>
          <w:shd w:val="clear" w:color="auto" w:fill="auto"/>
          <w:lang w:val="uk-UA"/>
        </w:rPr>
      </w:pPr>
      <w:bookmarkStart w:id="79" w:name="_Toc501620073"/>
      <w:r w:rsidRPr="00CF4230">
        <w:rPr>
          <w:rStyle w:val="42"/>
          <w:color w:val="000000" w:themeColor="text1"/>
          <w:sz w:val="20"/>
          <w:szCs w:val="28"/>
          <w:u w:val="none"/>
          <w:shd w:val="clear" w:color="auto" w:fill="auto"/>
          <w:lang w:val="uk-UA"/>
        </w:rPr>
        <w:t>Інструмент власного капіталу</w:t>
      </w:r>
      <w:bookmarkEnd w:id="79"/>
    </w:p>
    <w:p w14:paraId="22A70806" w14:textId="77777777" w:rsidR="000C2A4B" w:rsidRPr="00CF4230" w:rsidRDefault="000C2A4B" w:rsidP="000C2A4B">
      <w:pPr>
        <w:spacing w:before="120" w:after="120"/>
        <w:rPr>
          <w:color w:val="000000" w:themeColor="text1"/>
          <w:szCs w:val="20"/>
        </w:rPr>
      </w:pPr>
      <w:r w:rsidRPr="00CF4230">
        <w:rPr>
          <w:rFonts w:eastAsia="Arial"/>
          <w:color w:val="000000" w:themeColor="text1"/>
          <w:szCs w:val="20"/>
        </w:rPr>
        <w:t>Інструмент власного капіталу</w:t>
      </w:r>
      <w:r w:rsidRPr="00CF4230">
        <w:rPr>
          <w:color w:val="000000" w:themeColor="text1"/>
          <w:szCs w:val="20"/>
        </w:rPr>
        <w:t xml:space="preserve"> - це будь-який договір, що підтверджує право на частку активів підприємства після вирахування всіх його зобов'язань. Інструменти власного капіталу, випущені Г Компанією, відображаються в розмірі надходжень за ними за вирахуванням прямих витрат на випуск.</w:t>
      </w:r>
    </w:p>
    <w:p w14:paraId="7CEB9595" w14:textId="77777777" w:rsidR="000C2A4B" w:rsidRPr="00CF4230" w:rsidRDefault="000C2A4B" w:rsidP="000C2A4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CF4230">
        <w:rPr>
          <w:color w:val="000000" w:themeColor="text1"/>
          <w:szCs w:val="20"/>
        </w:rPr>
        <w:t>Викуп інструментів власного капіталу Компанії відноситься до зменшення капіталу. Вигоди чи втрати від покупки, продажу, випуску або анулювання інструментів власного капіталу Компанії не відображаються в прибутку або збитках.</w:t>
      </w:r>
    </w:p>
    <w:p w14:paraId="74D6794D" w14:textId="77777777" w:rsidR="000C2A4B" w:rsidRPr="00CF4230" w:rsidRDefault="000C2A4B" w:rsidP="002F4997">
      <w:pPr>
        <w:pStyle w:val="3"/>
        <w:rPr>
          <w:color w:val="000000" w:themeColor="text1"/>
        </w:rPr>
      </w:pPr>
      <w:bookmarkStart w:id="80" w:name="_Toc501620074"/>
      <w:r w:rsidRPr="00CF4230">
        <w:rPr>
          <w:rStyle w:val="42"/>
          <w:color w:val="000000" w:themeColor="text1"/>
          <w:sz w:val="20"/>
          <w:szCs w:val="28"/>
          <w:u w:val="none"/>
          <w:shd w:val="clear" w:color="auto" w:fill="auto"/>
          <w:lang w:val="uk-UA"/>
        </w:rPr>
        <w:t>Складні інструменти</w:t>
      </w:r>
      <w:bookmarkEnd w:id="80"/>
    </w:p>
    <w:p w14:paraId="62F868B2" w14:textId="77777777" w:rsidR="000C2A4B" w:rsidRPr="00CF4230" w:rsidRDefault="000C2A4B" w:rsidP="000C2A4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CF4230">
        <w:rPr>
          <w:color w:val="000000" w:themeColor="text1"/>
          <w:szCs w:val="20"/>
        </w:rPr>
        <w:t>Складні інструменти (конвертовані облігації), випущені Компанією, розглядаються як такі, що складаються з двох окремих компонентів: компонент капіталу і зобов’язань. Компоненти класифікуються залежно від суті договору, а також визначень фінансових зобов'язань та інструмента власного капіталу. Опціон на конвертацію, який передбачає обмін фіксованої суми грошових коштів або інших фінансових активів на фіксовану кількість інструментів власного капіталу Компанії - це компонент власного капіталу.</w:t>
      </w:r>
    </w:p>
    <w:p w14:paraId="6ED559E4" w14:textId="77777777" w:rsidR="000C2A4B" w:rsidRPr="00CF4230" w:rsidRDefault="000C2A4B" w:rsidP="000C2A4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CF4230">
        <w:rPr>
          <w:color w:val="000000" w:themeColor="text1"/>
          <w:szCs w:val="20"/>
        </w:rPr>
        <w:t>На дату випуску справедлива вартість компонента зобов'язань визначається за ринковою ставкою відсотка за аналогічними неконвертованими інструментами. Компонент зобов'язань відображається як зобов'язання за амортизованою вартістю до конвертації або настання терміну погашення інструмента.</w:t>
      </w:r>
    </w:p>
    <w:p w14:paraId="09E668E2" w14:textId="77777777" w:rsidR="000C2A4B" w:rsidRPr="00CF4230" w:rsidRDefault="000C2A4B" w:rsidP="000C2A4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0"/>
        </w:rPr>
      </w:pPr>
      <w:r w:rsidRPr="00CF4230">
        <w:rPr>
          <w:color w:val="000000" w:themeColor="text1"/>
          <w:szCs w:val="20"/>
        </w:rPr>
        <w:t>Опціон на конвертацію (компонент власного капіталу) оцінюється шляхом вирахування справедливої вартості компонента зобов'язань із загальної вартості складного фінансового інструмента. Отримана величина відноситься до капіталу за вирахуванням податку на прибуток і згодом не переоцінюється. Компонент власного капіталу відображається до виконання опціону, після чого переноситься в емісійний дохід. Якщо опціон не виконаний, компонент власного капіталу переноситься на нерозподілений прибуток. При цьому не виникають будь-які прибутки або збитки.</w:t>
      </w:r>
    </w:p>
    <w:p w14:paraId="67524CB0" w14:textId="77777777" w:rsidR="000C2A4B" w:rsidRPr="00CF4230" w:rsidRDefault="000C2A4B" w:rsidP="000C2A4B">
      <w:pPr>
        <w:pStyle w:val="62"/>
        <w:shd w:val="clear" w:color="auto" w:fill="auto"/>
        <w:tabs>
          <w:tab w:val="left" w:pos="570"/>
        </w:tabs>
        <w:spacing w:before="120" w:after="120" w:line="240" w:lineRule="auto"/>
        <w:ind w:firstLine="0"/>
        <w:jc w:val="both"/>
        <w:rPr>
          <w:rFonts w:ascii="Arial" w:hAnsi="Arial" w:cs="Arial"/>
          <w:color w:val="000000" w:themeColor="text1"/>
          <w:sz w:val="20"/>
          <w:szCs w:val="20"/>
          <w:lang w:val="uk-UA"/>
        </w:rPr>
      </w:pPr>
      <w:r w:rsidRPr="00CF4230">
        <w:rPr>
          <w:rFonts w:ascii="Arial" w:hAnsi="Arial" w:cs="Arial"/>
          <w:color w:val="000000" w:themeColor="text1"/>
          <w:sz w:val="20"/>
          <w:szCs w:val="20"/>
          <w:lang w:val="uk-UA"/>
        </w:rPr>
        <w:t xml:space="preserve">Витрати на випуск конвертованих облігацій пропорційно розподіляються між компонентом </w:t>
      </w:r>
      <w:r w:rsidRPr="00CF4230">
        <w:rPr>
          <w:rFonts w:ascii="Arial" w:eastAsia="Times New Roman" w:hAnsi="Arial" w:cs="Arial"/>
          <w:color w:val="000000" w:themeColor="text1"/>
          <w:sz w:val="20"/>
          <w:szCs w:val="20"/>
          <w:lang w:val="uk-UA"/>
        </w:rPr>
        <w:t xml:space="preserve">зобов'язань </w:t>
      </w:r>
      <w:r w:rsidRPr="00CF4230">
        <w:rPr>
          <w:rFonts w:ascii="Arial" w:hAnsi="Arial" w:cs="Arial"/>
          <w:color w:val="000000" w:themeColor="text1"/>
          <w:sz w:val="20"/>
          <w:szCs w:val="20"/>
          <w:lang w:val="uk-UA"/>
        </w:rPr>
        <w:t xml:space="preserve">і компонентом власного капіталу. Витрати на випуск компонента власного капіталу визнаються в капіталі. Витрати на випуск компонента </w:t>
      </w:r>
      <w:r w:rsidRPr="00CF4230">
        <w:rPr>
          <w:rFonts w:ascii="Arial" w:eastAsia="Times New Roman" w:hAnsi="Arial" w:cs="Arial"/>
          <w:color w:val="000000" w:themeColor="text1"/>
          <w:sz w:val="20"/>
          <w:szCs w:val="20"/>
          <w:lang w:val="uk-UA"/>
        </w:rPr>
        <w:t xml:space="preserve">зобов'язань </w:t>
      </w:r>
      <w:r w:rsidRPr="00CF4230">
        <w:rPr>
          <w:rFonts w:ascii="Arial" w:hAnsi="Arial" w:cs="Arial"/>
          <w:color w:val="000000" w:themeColor="text1"/>
          <w:sz w:val="20"/>
          <w:szCs w:val="20"/>
          <w:lang w:val="uk-UA"/>
        </w:rPr>
        <w:t xml:space="preserve">включаються до балансової вартості компонента </w:t>
      </w:r>
      <w:r w:rsidRPr="00CF4230">
        <w:rPr>
          <w:rFonts w:ascii="Arial" w:eastAsia="Times New Roman" w:hAnsi="Arial" w:cs="Arial"/>
          <w:color w:val="000000" w:themeColor="text1"/>
          <w:sz w:val="20"/>
          <w:szCs w:val="20"/>
          <w:lang w:val="uk-UA"/>
        </w:rPr>
        <w:t xml:space="preserve">зобов'язань </w:t>
      </w:r>
      <w:r w:rsidRPr="00CF4230">
        <w:rPr>
          <w:rFonts w:ascii="Arial" w:hAnsi="Arial" w:cs="Arial"/>
          <w:color w:val="000000" w:themeColor="text1"/>
          <w:sz w:val="20"/>
          <w:szCs w:val="20"/>
          <w:lang w:val="uk-UA"/>
        </w:rPr>
        <w:t>і списуються на термін звернення конвертованих облігацій за методом ефективної ставки відсотка.</w:t>
      </w:r>
    </w:p>
    <w:p w14:paraId="5B54EAAE" w14:textId="77777777" w:rsidR="000C2A4B" w:rsidRPr="00CF4230" w:rsidRDefault="000C2A4B" w:rsidP="002F4997">
      <w:pPr>
        <w:pStyle w:val="3"/>
        <w:rPr>
          <w:color w:val="000000" w:themeColor="text1"/>
        </w:rPr>
      </w:pPr>
      <w:r w:rsidRPr="00CF4230">
        <w:rPr>
          <w:rStyle w:val="42"/>
          <w:color w:val="000000" w:themeColor="text1"/>
          <w:sz w:val="20"/>
          <w:szCs w:val="28"/>
          <w:u w:val="none"/>
          <w:shd w:val="clear" w:color="auto" w:fill="auto"/>
          <w:lang w:val="uk-UA"/>
        </w:rPr>
        <w:t xml:space="preserve"> </w:t>
      </w:r>
      <w:bookmarkStart w:id="81" w:name="_Toc501620075"/>
      <w:r w:rsidRPr="00CF4230">
        <w:rPr>
          <w:rStyle w:val="42"/>
          <w:color w:val="000000" w:themeColor="text1"/>
          <w:sz w:val="20"/>
          <w:szCs w:val="28"/>
          <w:u w:val="none"/>
          <w:shd w:val="clear" w:color="auto" w:fill="auto"/>
          <w:lang w:val="uk-UA"/>
        </w:rPr>
        <w:t>Фінансові зобов’язання</w:t>
      </w:r>
      <w:bookmarkEnd w:id="81"/>
    </w:p>
    <w:p w14:paraId="63BC00E2" w14:textId="77777777" w:rsidR="000C2A4B" w:rsidRPr="00CF4230" w:rsidRDefault="000C2A4B" w:rsidP="000C2A4B">
      <w:pPr>
        <w:pStyle w:val="62"/>
        <w:shd w:val="clear" w:color="auto" w:fill="auto"/>
        <w:tabs>
          <w:tab w:val="left" w:pos="570"/>
        </w:tabs>
        <w:spacing w:before="120" w:after="120" w:line="240" w:lineRule="auto"/>
        <w:ind w:firstLine="0"/>
        <w:jc w:val="both"/>
        <w:rPr>
          <w:rFonts w:ascii="Arial" w:hAnsi="Arial" w:cs="Arial"/>
          <w:color w:val="000000" w:themeColor="text1"/>
          <w:sz w:val="20"/>
          <w:szCs w:val="20"/>
          <w:lang w:val="uk-UA"/>
        </w:rPr>
      </w:pPr>
      <w:r w:rsidRPr="00CF4230">
        <w:rPr>
          <w:rFonts w:ascii="Arial" w:hAnsi="Arial" w:cs="Arial"/>
          <w:color w:val="000000" w:themeColor="text1"/>
          <w:sz w:val="20"/>
          <w:szCs w:val="20"/>
          <w:lang w:val="uk-UA"/>
        </w:rPr>
        <w:t>Фінансові зобов'язання класифікуються або як такі, що оцінюються за справедливою вартістю через прибутки або збитки, або як інші фінансові зобов’язання.</w:t>
      </w:r>
    </w:p>
    <w:p w14:paraId="3E7AB89E" w14:textId="77777777" w:rsidR="000C2A4B" w:rsidRPr="00CF4230" w:rsidRDefault="000C2A4B" w:rsidP="00CF4230">
      <w:pPr>
        <w:pStyle w:val="4"/>
        <w:numPr>
          <w:ilvl w:val="0"/>
          <w:numId w:val="0"/>
        </w:numPr>
        <w:ind w:left="864" w:hanging="864"/>
        <w:rPr>
          <w:b/>
          <w:color w:val="000000" w:themeColor="text1"/>
        </w:rPr>
      </w:pPr>
      <w:r w:rsidRPr="00CF4230">
        <w:rPr>
          <w:rStyle w:val="30"/>
          <w:color w:val="000000" w:themeColor="text1"/>
          <w:szCs w:val="24"/>
        </w:rPr>
        <w:t xml:space="preserve"> </w:t>
      </w:r>
      <w:bookmarkStart w:id="82" w:name="_Toc501620076"/>
      <w:r w:rsidRPr="00CF4230">
        <w:rPr>
          <w:rStyle w:val="30"/>
          <w:color w:val="000000" w:themeColor="text1"/>
          <w:szCs w:val="24"/>
        </w:rPr>
        <w:t>Фінансові зобов’язання, що оцінюються за справедливою вартістю через прибутки або</w:t>
      </w:r>
      <w:bookmarkEnd w:id="82"/>
      <w:r w:rsidRPr="00CF4230">
        <w:rPr>
          <w:color w:val="000000" w:themeColor="text1"/>
        </w:rPr>
        <w:t xml:space="preserve"> </w:t>
      </w:r>
      <w:r w:rsidRPr="00CF4230">
        <w:rPr>
          <w:b/>
          <w:color w:val="000000" w:themeColor="text1"/>
        </w:rPr>
        <w:t xml:space="preserve">збитки </w:t>
      </w:r>
    </w:p>
    <w:p w14:paraId="05094910" w14:textId="77777777" w:rsidR="000C2A4B" w:rsidRPr="00CF4230" w:rsidRDefault="000C2A4B" w:rsidP="000C2A4B">
      <w:pPr>
        <w:widowControl w:val="0"/>
        <w:tabs>
          <w:tab w:val="left" w:pos="723"/>
        </w:tabs>
        <w:spacing w:before="120" w:after="120"/>
        <w:rPr>
          <w:color w:val="000000" w:themeColor="text1"/>
          <w:szCs w:val="20"/>
        </w:rPr>
      </w:pPr>
      <w:r w:rsidRPr="00CF4230">
        <w:rPr>
          <w:color w:val="000000" w:themeColor="text1"/>
          <w:szCs w:val="20"/>
        </w:rPr>
        <w:t>Фінансові зобов'язання, що оцінюються за справедливою вартістю через прибутки або збитки, включають фінансові зобов'язання, (і) які є умовним відшкодуванням, яке може бути виплачене покупцем в рамках об'єднання бізнесу, що визнають згідно з МСФЗ (IFRS) 3; (Іі) призначені для перепродажу, і (ііі) фінансові зобов'язання, відображені при первісному відображенні в обліку як оцінювані за справедливою вартістю через прибутки або збитки.</w:t>
      </w:r>
    </w:p>
    <w:p w14:paraId="50449F1D" w14:textId="77777777" w:rsidR="000C2A4B" w:rsidRPr="00CF4230" w:rsidRDefault="000C2A4B" w:rsidP="000C2A4B">
      <w:pPr>
        <w:widowControl w:val="0"/>
        <w:tabs>
          <w:tab w:val="left" w:pos="723"/>
        </w:tabs>
        <w:spacing w:before="120" w:after="120"/>
        <w:rPr>
          <w:color w:val="000000" w:themeColor="text1"/>
          <w:szCs w:val="20"/>
        </w:rPr>
      </w:pPr>
      <w:r w:rsidRPr="00CF4230">
        <w:rPr>
          <w:color w:val="000000" w:themeColor="text1"/>
          <w:szCs w:val="20"/>
        </w:rPr>
        <w:t>Фінансове зобов'язання класифікується як «призначене для перепродажу», якщо воно:</w:t>
      </w:r>
    </w:p>
    <w:p w14:paraId="7398ED21" w14:textId="77777777" w:rsidR="000C2A4B" w:rsidRPr="00CF4230" w:rsidRDefault="000C2A4B" w:rsidP="003A7D0C">
      <w:pPr>
        <w:pStyle w:val="af0"/>
        <w:numPr>
          <w:ilvl w:val="0"/>
          <w:numId w:val="9"/>
        </w:numPr>
        <w:spacing w:before="120" w:after="120"/>
        <w:rPr>
          <w:color w:val="000000" w:themeColor="text1"/>
          <w:szCs w:val="20"/>
        </w:rPr>
      </w:pPr>
      <w:r w:rsidRPr="00CF4230">
        <w:rPr>
          <w:color w:val="000000" w:themeColor="text1"/>
          <w:szCs w:val="20"/>
        </w:rPr>
        <w:t>приймається з основною метою зворотного викупу в найближчій перспективі;</w:t>
      </w:r>
    </w:p>
    <w:p w14:paraId="4CCE03C6" w14:textId="77777777" w:rsidR="000C2A4B" w:rsidRPr="00CF4230" w:rsidRDefault="000C2A4B" w:rsidP="003A7D0C">
      <w:pPr>
        <w:pStyle w:val="af0"/>
        <w:numPr>
          <w:ilvl w:val="0"/>
          <w:numId w:val="9"/>
        </w:numPr>
        <w:spacing w:before="120" w:after="120"/>
        <w:rPr>
          <w:color w:val="000000" w:themeColor="text1"/>
          <w:szCs w:val="20"/>
        </w:rPr>
      </w:pPr>
      <w:r w:rsidRPr="00CF4230">
        <w:rPr>
          <w:color w:val="000000" w:themeColor="text1"/>
          <w:szCs w:val="20"/>
        </w:rPr>
        <w:t>при первісному прийнятті до обліку входить в портфель фінансових інструментів, керований Г Компанією як єдиний портфель з недавньою історією короткострокових покупок і перепродажів; або</w:t>
      </w:r>
    </w:p>
    <w:p w14:paraId="16739547" w14:textId="77777777" w:rsidR="000C2A4B" w:rsidRPr="00CF4230" w:rsidRDefault="000C2A4B" w:rsidP="003A7D0C">
      <w:pPr>
        <w:pStyle w:val="af0"/>
        <w:numPr>
          <w:ilvl w:val="0"/>
          <w:numId w:val="9"/>
        </w:numPr>
        <w:spacing w:before="120" w:after="120"/>
        <w:rPr>
          <w:color w:val="000000" w:themeColor="text1"/>
          <w:szCs w:val="20"/>
        </w:rPr>
      </w:pPr>
      <w:r w:rsidRPr="00CF4230">
        <w:rPr>
          <w:color w:val="000000" w:themeColor="text1"/>
          <w:szCs w:val="20"/>
        </w:rPr>
        <w:t>є виробничим фінансовим інструментом, не позначеним як інструмент хеджування в угоді ефективного хеджування.</w:t>
      </w:r>
    </w:p>
    <w:p w14:paraId="6B32902B" w14:textId="77777777" w:rsidR="000C2A4B" w:rsidRPr="00CF4230" w:rsidRDefault="000C2A4B" w:rsidP="000C2A4B">
      <w:pPr>
        <w:rPr>
          <w:color w:val="000000" w:themeColor="text1"/>
          <w:szCs w:val="20"/>
        </w:rPr>
      </w:pPr>
      <w:r w:rsidRPr="00CF4230">
        <w:rPr>
          <w:color w:val="000000" w:themeColor="text1"/>
          <w:szCs w:val="20"/>
        </w:rPr>
        <w:t>Фінансове зобов'язання, крім фінансового зобов'язання, призначеного для перепродажу і умовного відшкодування, яке може бути виплачене покупцем в рамках об'єднання бізнесу, може бути позначено як фінансове зобов'язання, що оцінюється за справедливою вартістю через прибутки або збитки в момент первісного відображення в обліку, якщо:</w:t>
      </w:r>
    </w:p>
    <w:p w14:paraId="0DD1B77D" w14:textId="77777777" w:rsidR="000C2A4B" w:rsidRPr="00CF4230" w:rsidRDefault="000C2A4B" w:rsidP="003A7D0C">
      <w:pPr>
        <w:pStyle w:val="af0"/>
        <w:numPr>
          <w:ilvl w:val="0"/>
          <w:numId w:val="9"/>
        </w:numPr>
        <w:spacing w:before="120" w:after="120"/>
        <w:rPr>
          <w:color w:val="000000" w:themeColor="text1"/>
          <w:szCs w:val="20"/>
        </w:rPr>
      </w:pPr>
      <w:r w:rsidRPr="00CF4230">
        <w:rPr>
          <w:color w:val="000000" w:themeColor="text1"/>
          <w:szCs w:val="20"/>
        </w:rPr>
        <w:lastRenderedPageBreak/>
        <w:t>застосування такої класифікації усуває або значно скорочує обліковий дисбаланс, який міг би виникнути в іншому випадку;</w:t>
      </w:r>
    </w:p>
    <w:p w14:paraId="4178DF3F" w14:textId="77777777" w:rsidR="000C2A4B" w:rsidRPr="00CF4230" w:rsidRDefault="000C2A4B" w:rsidP="003A7D0C">
      <w:pPr>
        <w:pStyle w:val="af0"/>
        <w:numPr>
          <w:ilvl w:val="0"/>
          <w:numId w:val="9"/>
        </w:numPr>
        <w:spacing w:before="120" w:after="120"/>
        <w:rPr>
          <w:color w:val="000000" w:themeColor="text1"/>
          <w:szCs w:val="20"/>
        </w:rPr>
      </w:pPr>
      <w:r w:rsidRPr="00CF4230">
        <w:rPr>
          <w:color w:val="000000" w:themeColor="text1"/>
          <w:szCs w:val="20"/>
        </w:rPr>
        <w:t>фінансове зобов'язання входить до групи фінансових активів, фінансових зобов'язань або групи фінансових активів і фінансових зобов'язань, керованою і оцінюваною за справедливою вартістю відповідно до документально оформленої стратегії управління ризиками або інвестиційної стратегії підприємства, і інформація про таку групу визначається підприємством на цій основі;</w:t>
      </w:r>
    </w:p>
    <w:p w14:paraId="55194D80" w14:textId="062DAADF" w:rsidR="000C2A4B" w:rsidRPr="00CF4230" w:rsidRDefault="000C2A4B" w:rsidP="003A7D0C">
      <w:pPr>
        <w:pStyle w:val="af0"/>
        <w:numPr>
          <w:ilvl w:val="0"/>
          <w:numId w:val="9"/>
        </w:numPr>
        <w:spacing w:before="120" w:after="120"/>
        <w:rPr>
          <w:color w:val="000000" w:themeColor="text1"/>
          <w:szCs w:val="20"/>
        </w:rPr>
      </w:pPr>
      <w:r w:rsidRPr="00CF4230">
        <w:rPr>
          <w:color w:val="000000" w:themeColor="text1"/>
          <w:szCs w:val="20"/>
        </w:rPr>
        <w:t>фінансове зобов'язання є частиною інструменту, що містить один або кілька вбудованих виробничих фінансов</w:t>
      </w:r>
      <w:r w:rsidR="00042E7D" w:rsidRPr="00CF4230">
        <w:rPr>
          <w:color w:val="000000" w:themeColor="text1"/>
          <w:szCs w:val="20"/>
        </w:rPr>
        <w:t xml:space="preserve">их інструментів, і МСФЗ (IFRS) </w:t>
      </w:r>
      <w:r w:rsidRPr="00CF4230">
        <w:rPr>
          <w:color w:val="000000" w:themeColor="text1"/>
          <w:szCs w:val="20"/>
        </w:rPr>
        <w:t>9 дозволяє позначити інструмент в цілому як оцінюваний за справедливою вартістю через прибутки або збитки.</w:t>
      </w:r>
    </w:p>
    <w:p w14:paraId="46BF0AA1" w14:textId="77777777" w:rsidR="000C2A4B" w:rsidRPr="00CF4230" w:rsidRDefault="000C2A4B" w:rsidP="000C2A4B">
      <w:pPr>
        <w:widowControl w:val="0"/>
        <w:tabs>
          <w:tab w:val="left" w:pos="723"/>
        </w:tabs>
        <w:spacing w:before="120" w:after="120"/>
        <w:rPr>
          <w:color w:val="000000" w:themeColor="text1"/>
          <w:szCs w:val="20"/>
        </w:rPr>
      </w:pPr>
      <w:r w:rsidRPr="00CF4230">
        <w:rPr>
          <w:color w:val="000000" w:themeColor="text1"/>
          <w:szCs w:val="20"/>
        </w:rPr>
        <w:t>Фінансові зобов'язання, що оцінюються за справедливою вартістю через прибутки або збитки, визнаються за справедливою вартістю з віднесенням переоцінки на прибутки або збитки. Відсотки, сплачені за фінансовими зобов'язаннями, відображаються в звіті про фінансові результати в рядку «Інші прибутки і збитки».</w:t>
      </w:r>
    </w:p>
    <w:p w14:paraId="2A07A83E" w14:textId="77777777" w:rsidR="000C2A4B" w:rsidRPr="00CF4230" w:rsidRDefault="000C2A4B" w:rsidP="000C2A4B">
      <w:pPr>
        <w:rPr>
          <w:i/>
          <w:color w:val="000000" w:themeColor="text1"/>
          <w:szCs w:val="20"/>
        </w:rPr>
      </w:pPr>
      <w:r w:rsidRPr="00CF4230">
        <w:rPr>
          <w:i/>
          <w:color w:val="000000" w:themeColor="text1"/>
          <w:szCs w:val="20"/>
        </w:rPr>
        <w:t>Інші фінансові зобов’язання</w:t>
      </w:r>
    </w:p>
    <w:p w14:paraId="02CE1FA1" w14:textId="77777777" w:rsidR="000C2A4B" w:rsidRPr="00CF4230" w:rsidRDefault="000C2A4B" w:rsidP="000C2A4B">
      <w:pPr>
        <w:widowControl w:val="0"/>
        <w:tabs>
          <w:tab w:val="left" w:pos="723"/>
        </w:tabs>
        <w:spacing w:before="120" w:after="120"/>
        <w:rPr>
          <w:color w:val="000000" w:themeColor="text1"/>
          <w:szCs w:val="20"/>
        </w:rPr>
      </w:pPr>
      <w:r w:rsidRPr="00CF4230">
        <w:rPr>
          <w:color w:val="000000" w:themeColor="text1"/>
          <w:szCs w:val="20"/>
        </w:rPr>
        <w:t>Інші фінансові зобов'язання (в тому числі кредити, торговельна та інша кредиторська заборгованість) згодом обліковуються за амортизованою вартістю з використанням методу ефективної ставки відсотка.</w:t>
      </w:r>
    </w:p>
    <w:p w14:paraId="38A01371" w14:textId="6E494DCA" w:rsidR="000C2A4B" w:rsidRPr="00CF4230" w:rsidRDefault="000C2A4B" w:rsidP="000C2A4B">
      <w:pPr>
        <w:widowControl w:val="0"/>
        <w:spacing w:before="120" w:after="120"/>
        <w:rPr>
          <w:color w:val="000000" w:themeColor="text1"/>
          <w:szCs w:val="20"/>
        </w:rPr>
      </w:pPr>
      <w:r w:rsidRPr="00CF4230">
        <w:rPr>
          <w:color w:val="000000" w:themeColor="text1"/>
          <w:szCs w:val="20"/>
        </w:rPr>
        <w:t>Метод ефективної ставки відсотка використовується для розрахунку амортизованої вартості фінансових зобов'язань та розподілу відсоткових доходів (витрат) протягом відповідного періоду. Ефективна ставка відсотка – це ставка, яка точно дисконтує очікувані майбутні грошові надходження (виплати) грошових коштів (включаючи всі отримані або сплачені гонорари за договорами, які становлять невід’ємну частину ефективної ставки відсотка, витрати на операцію та інші премії або дисконти) протягом очікуваного строку використання фінансового активу (зобов’язання) або (якщо доцільн</w:t>
      </w:r>
      <w:r w:rsidR="00F15CAC" w:rsidRPr="00CF4230">
        <w:rPr>
          <w:color w:val="000000" w:themeColor="text1"/>
          <w:szCs w:val="20"/>
        </w:rPr>
        <w:t xml:space="preserve">о) коротшого строку, до чистої </w:t>
      </w:r>
      <w:r w:rsidRPr="00CF4230">
        <w:rPr>
          <w:color w:val="000000" w:themeColor="text1"/>
          <w:szCs w:val="20"/>
        </w:rPr>
        <w:t>балансової вартості на момент їхнього первісного визнання.</w:t>
      </w:r>
    </w:p>
    <w:p w14:paraId="7016B97B" w14:textId="77777777" w:rsidR="000C2A4B" w:rsidRPr="00CF4230" w:rsidRDefault="000C2A4B" w:rsidP="000C2A4B">
      <w:pPr>
        <w:widowControl w:val="0"/>
        <w:spacing w:before="120" w:after="120"/>
        <w:rPr>
          <w:color w:val="000000" w:themeColor="text1"/>
          <w:szCs w:val="20"/>
        </w:rPr>
      </w:pPr>
      <w:r w:rsidRPr="00CF4230">
        <w:rPr>
          <w:color w:val="000000" w:themeColor="text1"/>
          <w:szCs w:val="20"/>
        </w:rPr>
        <w:t>Доходи за борговими інструментами відображаються за методом ефективної ставки відсотка, за виключенням фінансових активів, оцінених за справедливою вартістю через прибутки або збитки.</w:t>
      </w:r>
    </w:p>
    <w:p w14:paraId="32D695F3" w14:textId="77777777" w:rsidR="002F4997" w:rsidRPr="00CF4230" w:rsidRDefault="002F4997" w:rsidP="00CF4230">
      <w:pPr>
        <w:pStyle w:val="4"/>
        <w:numPr>
          <w:ilvl w:val="0"/>
          <w:numId w:val="0"/>
        </w:numPr>
        <w:ind w:left="864" w:hanging="864"/>
        <w:rPr>
          <w:b/>
          <w:color w:val="000000" w:themeColor="text1"/>
        </w:rPr>
      </w:pPr>
      <w:r w:rsidRPr="00CF4230">
        <w:rPr>
          <w:b/>
          <w:color w:val="000000" w:themeColor="text1"/>
        </w:rPr>
        <w:t>Контракти фінансової гарантії</w:t>
      </w:r>
    </w:p>
    <w:p w14:paraId="6D436544" w14:textId="77777777" w:rsidR="002F4997" w:rsidRPr="00CF4230" w:rsidRDefault="002F4997" w:rsidP="002F4997">
      <w:pPr>
        <w:widowControl w:val="0"/>
        <w:spacing w:before="120" w:after="120"/>
        <w:rPr>
          <w:color w:val="000000" w:themeColor="text1"/>
          <w:szCs w:val="20"/>
        </w:rPr>
      </w:pPr>
      <w:r w:rsidRPr="00CF4230">
        <w:rPr>
          <w:color w:val="000000" w:themeColor="text1"/>
          <w:szCs w:val="20"/>
        </w:rPr>
        <w:t>Контракт фінансової гарантії - це контракт, який зобов'язує емітента здійснювати конкретні виплати на відшкодування збитків, понесених держателем (власником) через те, що відповідний боржник не проводить своєчасні платежі за умовами боргового інструменту.</w:t>
      </w:r>
    </w:p>
    <w:p w14:paraId="4D90C150" w14:textId="77777777" w:rsidR="002F4997" w:rsidRPr="00CF4230" w:rsidRDefault="002F4997" w:rsidP="002F4997">
      <w:pPr>
        <w:widowControl w:val="0"/>
        <w:spacing w:before="120" w:after="120"/>
        <w:rPr>
          <w:color w:val="000000" w:themeColor="text1"/>
          <w:szCs w:val="20"/>
        </w:rPr>
      </w:pPr>
      <w:r w:rsidRPr="00CF4230">
        <w:rPr>
          <w:color w:val="000000" w:themeColor="text1"/>
          <w:szCs w:val="20"/>
        </w:rPr>
        <w:t>Зобов'язання за контрактом фінансової гарантії, укладеним Компанією, первісно оцінюються за справедливою вартістю, якщо керівництво не визначає їх як оцінювані за справедливою вартістю через прибутки або збитки, і згодом відображаються за найбільшою з:</w:t>
      </w:r>
    </w:p>
    <w:p w14:paraId="4554EB36" w14:textId="77777777" w:rsidR="002F4997" w:rsidRPr="00CF4230" w:rsidRDefault="002F4997" w:rsidP="003A7D0C">
      <w:pPr>
        <w:pStyle w:val="af0"/>
        <w:widowControl w:val="0"/>
        <w:numPr>
          <w:ilvl w:val="0"/>
          <w:numId w:val="12"/>
        </w:numPr>
        <w:spacing w:before="120" w:after="120"/>
        <w:rPr>
          <w:color w:val="000000" w:themeColor="text1"/>
          <w:szCs w:val="20"/>
        </w:rPr>
      </w:pPr>
      <w:r w:rsidRPr="00CF4230">
        <w:rPr>
          <w:color w:val="000000" w:themeColor="text1"/>
          <w:szCs w:val="20"/>
        </w:rPr>
        <w:t>вартості зобов'язань, яка визначається відповідно до МСФЗ (IFRS) 37;</w:t>
      </w:r>
    </w:p>
    <w:p w14:paraId="65D04597" w14:textId="77777777" w:rsidR="002F4997" w:rsidRPr="00CF4230" w:rsidRDefault="002F4997" w:rsidP="003A7D0C">
      <w:pPr>
        <w:pStyle w:val="af0"/>
        <w:widowControl w:val="0"/>
        <w:numPr>
          <w:ilvl w:val="0"/>
          <w:numId w:val="12"/>
        </w:numPr>
        <w:spacing w:before="120" w:after="120"/>
        <w:rPr>
          <w:color w:val="000000" w:themeColor="text1"/>
          <w:szCs w:val="20"/>
        </w:rPr>
      </w:pPr>
      <w:r w:rsidRPr="00CF4230">
        <w:rPr>
          <w:color w:val="000000" w:themeColor="text1"/>
          <w:szCs w:val="20"/>
        </w:rPr>
        <w:t>первісно визнаної суми за вирахуванням, якщо це необхідно, накопиченої амортизації, визнаної відповідно до політики визнання доходу.</w:t>
      </w:r>
    </w:p>
    <w:p w14:paraId="020A9CEF" w14:textId="77777777" w:rsidR="000C2A4B" w:rsidRPr="00CF4230" w:rsidRDefault="000C2A4B" w:rsidP="00CF4230">
      <w:pPr>
        <w:pStyle w:val="4"/>
        <w:numPr>
          <w:ilvl w:val="0"/>
          <w:numId w:val="0"/>
        </w:numPr>
        <w:ind w:left="864" w:hanging="864"/>
        <w:rPr>
          <w:b/>
          <w:color w:val="000000" w:themeColor="text1"/>
        </w:rPr>
      </w:pPr>
      <w:r w:rsidRPr="00CF4230">
        <w:rPr>
          <w:b/>
          <w:color w:val="000000" w:themeColor="text1"/>
        </w:rPr>
        <w:t>Припинення визнання фінансових зобов’язань</w:t>
      </w:r>
    </w:p>
    <w:p w14:paraId="6C331F97" w14:textId="77777777" w:rsidR="000C2A4B" w:rsidRPr="00CF4230" w:rsidRDefault="000C2A4B" w:rsidP="000C2A4B">
      <w:pPr>
        <w:widowControl w:val="0"/>
        <w:spacing w:before="120" w:after="120"/>
        <w:rPr>
          <w:color w:val="000000" w:themeColor="text1"/>
          <w:szCs w:val="20"/>
        </w:rPr>
      </w:pPr>
      <w:r w:rsidRPr="00CF4230">
        <w:rPr>
          <w:color w:val="000000" w:themeColor="text1"/>
          <w:szCs w:val="20"/>
        </w:rPr>
        <w:t>Компанія припиняє визнавати фінансові зобов'язання тільки при їх погашенні, анулюванні або закінченні строку їхньої дії. Різниця між балансовою вартістю списаного фінансового зобов'язання та сумою компенсації, яка була сплачена або підлягає сплаті, визнається у складі прибутку або збитку.</w:t>
      </w:r>
    </w:p>
    <w:p w14:paraId="004FC87E" w14:textId="5EAA7540" w:rsidR="000C2A4B" w:rsidRPr="00CF4230" w:rsidRDefault="000C2A4B" w:rsidP="002F4997">
      <w:pPr>
        <w:pStyle w:val="2"/>
        <w:rPr>
          <w:color w:val="000000" w:themeColor="text1"/>
        </w:rPr>
      </w:pPr>
      <w:bookmarkStart w:id="83" w:name="_Toc501620077"/>
      <w:r w:rsidRPr="00CF4230">
        <w:rPr>
          <w:color w:val="000000" w:themeColor="text1"/>
        </w:rPr>
        <w:t>Похідні фінансові інструменти</w:t>
      </w:r>
      <w:bookmarkEnd w:id="83"/>
    </w:p>
    <w:p w14:paraId="0FCB2BB8"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CF4230">
        <w:rPr>
          <w:rFonts w:ascii="Arial" w:hAnsi="Arial" w:cs="Arial"/>
          <w:color w:val="000000" w:themeColor="text1"/>
          <w:sz w:val="20"/>
          <w:szCs w:val="20"/>
          <w:lang w:val="uk-UA"/>
        </w:rPr>
        <w:t xml:space="preserve">Компанія використовує похідні фінансові інструменти (похідні фінансові інструменти, деривативи), у тому числі валютні форварди, відсоткові і валютні свопи для управління процентним та валютним </w:t>
      </w:r>
      <w:r w:rsidRPr="00F45C3A">
        <w:rPr>
          <w:rFonts w:ascii="Arial" w:hAnsi="Arial" w:cs="Arial"/>
          <w:color w:val="000000" w:themeColor="text1"/>
          <w:sz w:val="20"/>
          <w:szCs w:val="20"/>
          <w:lang w:val="uk-UA"/>
        </w:rPr>
        <w:t>ризиком.</w:t>
      </w:r>
    </w:p>
    <w:p w14:paraId="0058F031"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Деривативи спочатку відображаються в обліку за справедливою вартістю на дату укладення договору і згодом переоцінюються за справедливою вартістю на кожну звітну дату. Зміни справедливої вартості відображаються в прибутку або збитках, крім похідних фінансових інструментів, визначених як інструменти хеджування в угоді ефективного хеджування. Терміни визнання прибутку або збитків за інструментами хеджування залежать від суті угод хеджування.</w:t>
      </w:r>
    </w:p>
    <w:p w14:paraId="6F032813" w14:textId="77777777" w:rsidR="000C2A4B" w:rsidRPr="00F45C3A" w:rsidRDefault="000C2A4B" w:rsidP="008C3115">
      <w:pPr>
        <w:pStyle w:val="3"/>
        <w:rPr>
          <w:color w:val="000000" w:themeColor="text1"/>
        </w:rPr>
      </w:pPr>
      <w:bookmarkStart w:id="84" w:name="_Toc501620078"/>
      <w:r w:rsidRPr="00F45C3A">
        <w:rPr>
          <w:rStyle w:val="42"/>
          <w:color w:val="000000" w:themeColor="text1"/>
          <w:sz w:val="20"/>
          <w:szCs w:val="20"/>
          <w:u w:val="none"/>
          <w:lang w:val="uk-UA"/>
        </w:rPr>
        <w:lastRenderedPageBreak/>
        <w:t>Вбудовані виробничі фінансові інструменти</w:t>
      </w:r>
      <w:bookmarkEnd w:id="84"/>
    </w:p>
    <w:p w14:paraId="67254D9B"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Деривативи, вбудовані в непохідні гібридні контракти, враховуються як окремі похідні фінансові інструменти, якщо вони задовольняють визначення похідних фінансових інструментів, а характеристики і ризики за ними не знаходяться в тісному зв'язку з основним контрактом, і основний контракт не відноситься до оцінюваних за справедливою вартістю через прибутки або збитки.</w:t>
      </w:r>
    </w:p>
    <w:p w14:paraId="1D1F128B" w14:textId="77777777" w:rsidR="000C2A4B" w:rsidRPr="00F45C3A" w:rsidRDefault="000C2A4B" w:rsidP="002F4997">
      <w:pPr>
        <w:pStyle w:val="2"/>
        <w:rPr>
          <w:color w:val="000000" w:themeColor="text1"/>
        </w:rPr>
      </w:pPr>
      <w:bookmarkStart w:id="85" w:name="_Ref496714357"/>
      <w:bookmarkStart w:id="86" w:name="_Toc501620079"/>
      <w:r w:rsidRPr="00F45C3A">
        <w:rPr>
          <w:color w:val="000000" w:themeColor="text1"/>
        </w:rPr>
        <w:t>Облік хеджування</w:t>
      </w:r>
      <w:bookmarkEnd w:id="85"/>
      <w:bookmarkEnd w:id="86"/>
    </w:p>
    <w:p w14:paraId="4C17332A"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Компанія позначає окремі інструменти хеджування, включаючи похідні фінансові інструменти, вбудовані похідні фінансові інструменти і непохідні фінансові інструменти (за валютними ризиками), як інструменти хеджування справедливої вартості, хеджування грошових потоків або хеджування чистих інвестицій в закордонну господарську одиницю. Інструменти хеджування валютного ризику за зобов'язаннями щодо майбутніх операцій враховуються як інструменти хеджування грошових потоків.</w:t>
      </w:r>
    </w:p>
    <w:p w14:paraId="3112B5D7"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Компанія документально оформлює відносини між інструментами хеджування і статтею хеджування з моменту їх визначення відповідно до стратегій управління ризиками та хеджування. Крім того, в момент визначення відносин хеджування і надалі Компанія регулярно документує ефективність інструменту хеджування з точки зору компенсації змін справедливої вартості або грошових потоків, пов'язаних з хеджованим ризиком.</w:t>
      </w:r>
    </w:p>
    <w:p w14:paraId="35D6BBF1" w14:textId="77777777" w:rsidR="000C2A4B" w:rsidRPr="00F45C3A" w:rsidRDefault="000C2A4B" w:rsidP="002F4997">
      <w:pPr>
        <w:pStyle w:val="3"/>
        <w:rPr>
          <w:color w:val="000000" w:themeColor="text1"/>
        </w:rPr>
      </w:pPr>
      <w:bookmarkStart w:id="87" w:name="_Toc501620080"/>
      <w:r w:rsidRPr="00F45C3A">
        <w:rPr>
          <w:rStyle w:val="42"/>
          <w:color w:val="000000" w:themeColor="text1"/>
          <w:sz w:val="20"/>
          <w:szCs w:val="28"/>
          <w:u w:val="none"/>
          <w:shd w:val="clear" w:color="auto" w:fill="auto"/>
          <w:lang w:val="uk-UA"/>
        </w:rPr>
        <w:t>Хеджування справедливої вартості</w:t>
      </w:r>
      <w:bookmarkEnd w:id="87"/>
    </w:p>
    <w:p w14:paraId="09F4E74B"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Зміни справедливої вартості похідних фінансових інструментів, позначених як інструменти хеджування справедливої вартості і які відповідають критеріям визнання, відразу відносяться на прибутки або збитки разом зі змінами справедливої вартості хеджованих статей, що відносяться до хеджованого ризику. Зміни справедливої вартості інструментів хеджування і зміни хеджованої статті, пов'язані з хеджованим ризиком, відображаються в прибутку або збитках за рядком, що відноситься до хеджування.</w:t>
      </w:r>
    </w:p>
    <w:p w14:paraId="1359DA73" w14:textId="77777777" w:rsidR="000C2A4B" w:rsidRPr="00F45C3A" w:rsidRDefault="000C2A4B" w:rsidP="000C2A4B">
      <w:pPr>
        <w:pStyle w:val="62"/>
        <w:tabs>
          <w:tab w:val="left" w:pos="286"/>
        </w:tabs>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Облік хеджування припиняється на дату:</w:t>
      </w:r>
    </w:p>
    <w:p w14:paraId="791E3C13" w14:textId="77777777" w:rsidR="000C2A4B" w:rsidRPr="00F45C3A" w:rsidRDefault="000C2A4B" w:rsidP="000C2A4B">
      <w:pPr>
        <w:pStyle w:val="62"/>
        <w:tabs>
          <w:tab w:val="left" w:pos="286"/>
        </w:tabs>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а) коли Компанія припиняє відносини хеджування,</w:t>
      </w:r>
    </w:p>
    <w:p w14:paraId="17F39DFD" w14:textId="77777777" w:rsidR="000C2A4B" w:rsidRPr="00F45C3A" w:rsidRDefault="000C2A4B" w:rsidP="000C2A4B">
      <w:pPr>
        <w:pStyle w:val="62"/>
        <w:tabs>
          <w:tab w:val="left" w:pos="286"/>
        </w:tabs>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б) закінчення терміну дії, продажу, розірвання або виконання інструментів хеджування, або</w:t>
      </w:r>
    </w:p>
    <w:p w14:paraId="7800BAC3" w14:textId="77777777" w:rsidR="000C2A4B" w:rsidRPr="00F45C3A" w:rsidRDefault="000C2A4B" w:rsidP="000C2A4B">
      <w:pPr>
        <w:pStyle w:val="62"/>
        <w:shd w:val="clear" w:color="auto" w:fill="auto"/>
        <w:tabs>
          <w:tab w:val="left" w:pos="286"/>
        </w:tabs>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 xml:space="preserve">в) коли фінансовий інструмент припиняє задовольняти вимогам обліку як інструмент хеджування. </w:t>
      </w:r>
    </w:p>
    <w:p w14:paraId="4F09D276" w14:textId="77777777" w:rsidR="000C2A4B" w:rsidRPr="00F45C3A" w:rsidRDefault="000C2A4B" w:rsidP="000C2A4B">
      <w:pPr>
        <w:pStyle w:val="62"/>
        <w:shd w:val="clear" w:color="auto" w:fill="auto"/>
        <w:tabs>
          <w:tab w:val="left" w:pos="286"/>
        </w:tabs>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Наступні коригування хеджованих статей на зміну справедливої вартості, пов’язану з хеджованим ризиком, списуються в прибутках або збитках.</w:t>
      </w:r>
    </w:p>
    <w:p w14:paraId="46DBCA04" w14:textId="77777777" w:rsidR="000C2A4B" w:rsidRPr="00F45C3A" w:rsidRDefault="000C2A4B" w:rsidP="002F4997">
      <w:pPr>
        <w:pStyle w:val="3"/>
        <w:rPr>
          <w:color w:val="000000" w:themeColor="text1"/>
        </w:rPr>
      </w:pPr>
      <w:r w:rsidRPr="00F45C3A">
        <w:rPr>
          <w:rStyle w:val="42"/>
          <w:color w:val="000000" w:themeColor="text1"/>
          <w:sz w:val="20"/>
          <w:szCs w:val="28"/>
          <w:u w:val="none"/>
          <w:shd w:val="clear" w:color="auto" w:fill="auto"/>
          <w:lang w:val="uk-UA"/>
        </w:rPr>
        <w:t xml:space="preserve"> </w:t>
      </w:r>
      <w:bookmarkStart w:id="88" w:name="_Toc501620081"/>
      <w:r w:rsidRPr="00F45C3A">
        <w:rPr>
          <w:rStyle w:val="42"/>
          <w:color w:val="000000" w:themeColor="text1"/>
          <w:sz w:val="20"/>
          <w:szCs w:val="28"/>
          <w:u w:val="none"/>
          <w:shd w:val="clear" w:color="auto" w:fill="auto"/>
          <w:lang w:val="uk-UA"/>
        </w:rPr>
        <w:t>Хеджування грошових потоків</w:t>
      </w:r>
      <w:bookmarkEnd w:id="88"/>
    </w:p>
    <w:p w14:paraId="78E1CA6D"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Ефективна частка змін справедливої вартості похідних фінансових інструментів, визначених як інструменти хеджування грошових потоків, і які відповідають критеріям визнання, відображається в іншому сукупному прибутку і накопичується за статтею резерву хеджування грошових потоків. Неефективна частка змін справедливої вартості інструментів хеджування грошових потоків включається в прибутки або збитки звітного періоду і відображається в рядку «Інші прибутки і збитки».</w:t>
      </w:r>
    </w:p>
    <w:p w14:paraId="091FA2AD"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Суми, раніше визнані в іншому сукупному прибутку, рекласифікуються в прибутки або збитки в періоди, коли хеджована стаття впливає на прибутки або збитки, в той рядок, за яким відображається списання хеджованої статті. Однак, якщо в результаті очікуваної високо ймовірної угоди визнається нефінансовий актив або нефінансове зобов'язання, зміни, накопичені в іншому сукупному прибутку, переносяться з іншого сукупного доходу до первісної вартості нефінансового активу або зобов'язання.</w:t>
      </w:r>
    </w:p>
    <w:p w14:paraId="1DB069B1" w14:textId="77777777" w:rsidR="000C2A4B" w:rsidRPr="00F45C3A" w:rsidRDefault="000C2A4B" w:rsidP="000C2A4B">
      <w:pPr>
        <w:pStyle w:val="62"/>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Облік хеджування припиняється на дату:</w:t>
      </w:r>
    </w:p>
    <w:p w14:paraId="13D3708A" w14:textId="77777777" w:rsidR="000C2A4B" w:rsidRPr="00F45C3A" w:rsidRDefault="000C2A4B" w:rsidP="000C2A4B">
      <w:pPr>
        <w:pStyle w:val="62"/>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а) коли Компанія припиняє відносини хеджування,</w:t>
      </w:r>
    </w:p>
    <w:p w14:paraId="31910B51" w14:textId="77777777" w:rsidR="000C2A4B" w:rsidRPr="00F45C3A" w:rsidRDefault="000C2A4B" w:rsidP="000C2A4B">
      <w:pPr>
        <w:pStyle w:val="62"/>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б) закінчення терміну дії, продажу, розірвання або виконання інструменту хеджування, або</w:t>
      </w:r>
    </w:p>
    <w:p w14:paraId="246BEA36"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в) коли фінансовий інструмент припиняє задовольняти вимогам обліку як інструмент хеджування.</w:t>
      </w:r>
    </w:p>
    <w:p w14:paraId="5B04CD8B"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Зміни, накопичені в іншому сукупному прибутку, списуються в прибутки або збитки одночасно з результатами угоди, яка раніше розглядалася як високо ймовірна. Якщо виконання угоди, що раніше розглядалася як високо ймовірна, більше не очікується, відповідні зміни, накопичені в іншому сукупному прибутку, відображаються в прибутку або збитку.</w:t>
      </w:r>
    </w:p>
    <w:p w14:paraId="624E229D" w14:textId="77777777" w:rsidR="000C2A4B" w:rsidRPr="00F45C3A" w:rsidRDefault="000C2A4B" w:rsidP="002F4997">
      <w:pPr>
        <w:pStyle w:val="3"/>
        <w:rPr>
          <w:color w:val="000000" w:themeColor="text1"/>
        </w:rPr>
      </w:pPr>
      <w:r w:rsidRPr="00F45C3A">
        <w:rPr>
          <w:rStyle w:val="42"/>
          <w:color w:val="000000" w:themeColor="text1"/>
          <w:sz w:val="20"/>
          <w:szCs w:val="28"/>
          <w:u w:val="none"/>
          <w:shd w:val="clear" w:color="auto" w:fill="auto"/>
          <w:lang w:val="uk-UA"/>
        </w:rPr>
        <w:lastRenderedPageBreak/>
        <w:t xml:space="preserve"> </w:t>
      </w:r>
      <w:bookmarkStart w:id="89" w:name="_Toc501620082"/>
      <w:r w:rsidRPr="00F45C3A">
        <w:rPr>
          <w:rStyle w:val="42"/>
          <w:color w:val="000000" w:themeColor="text1"/>
          <w:sz w:val="20"/>
          <w:szCs w:val="28"/>
          <w:u w:val="none"/>
          <w:shd w:val="clear" w:color="auto" w:fill="auto"/>
          <w:lang w:val="uk-UA"/>
        </w:rPr>
        <w:t>Інструменти хеджування чистих інвестицій в закордонну господарську одиницю</w:t>
      </w:r>
      <w:bookmarkEnd w:id="89"/>
    </w:p>
    <w:p w14:paraId="6A92C80F"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Інструменти хеджування чистих інвестицій враховуються аналогічно інструментам хеджування грошових потоків. Ефективна частка змін справедливої вартості інструментів хеджування чистих інвестицій визнається в іншому сукупному прибутку і накопичується за статтею «Резерв перерахунку іноземної валюти». Неефективна частка змін справедливої вартості інструментів хеджування чистих інвестицій включається в прибутки або збитки у рядку «Інші прибутки і збитки».</w:t>
      </w:r>
    </w:p>
    <w:p w14:paraId="1C11DE4A" w14:textId="77777777" w:rsidR="000C2A4B" w:rsidRPr="00F45C3A" w:rsidRDefault="000C2A4B" w:rsidP="000C2A4B">
      <w:pPr>
        <w:pStyle w:val="62"/>
        <w:shd w:val="clear" w:color="auto" w:fill="auto"/>
        <w:spacing w:before="120" w:after="120" w:line="240" w:lineRule="auto"/>
        <w:ind w:firstLine="0"/>
        <w:jc w:val="both"/>
        <w:rPr>
          <w:rFonts w:ascii="Arial" w:hAnsi="Arial" w:cs="Arial"/>
          <w:color w:val="000000" w:themeColor="text1"/>
          <w:sz w:val="20"/>
          <w:szCs w:val="20"/>
          <w:lang w:val="uk-UA"/>
        </w:rPr>
      </w:pPr>
      <w:r w:rsidRPr="00F45C3A">
        <w:rPr>
          <w:rFonts w:ascii="Arial" w:hAnsi="Arial" w:cs="Arial"/>
          <w:color w:val="000000" w:themeColor="text1"/>
          <w:sz w:val="20"/>
          <w:szCs w:val="20"/>
          <w:lang w:val="uk-UA"/>
        </w:rPr>
        <w:t>Ефективна частка змін справедливої вартості інструментів хеджування чистих інвестицій перекласифіковується з резерву перерахунку іноземної валюти в прибутки або збитки при продажу іноземних підрозділів.</w:t>
      </w:r>
    </w:p>
    <w:p w14:paraId="74897381" w14:textId="035C7E29" w:rsidR="00920BA5" w:rsidRPr="00686268" w:rsidRDefault="00462939" w:rsidP="002F4997">
      <w:pPr>
        <w:pStyle w:val="1"/>
        <w:rPr>
          <w:color w:val="000000" w:themeColor="text1"/>
          <w:szCs w:val="20"/>
        </w:rPr>
      </w:pPr>
      <w:bookmarkStart w:id="90" w:name="_Toc68253959"/>
      <w:r w:rsidRPr="00686268">
        <w:rPr>
          <w:color w:val="000000" w:themeColor="text1"/>
          <w:szCs w:val="20"/>
        </w:rPr>
        <w:t>Доходи</w:t>
      </w:r>
      <w:bookmarkEnd w:id="19"/>
      <w:bookmarkEnd w:id="20"/>
      <w:bookmarkEnd w:id="90"/>
    </w:p>
    <w:p w14:paraId="582105A9" w14:textId="77777777" w:rsidR="00920BA5" w:rsidRPr="00686268" w:rsidRDefault="00920BA5" w:rsidP="004214A8">
      <w:pPr>
        <w:rPr>
          <w:rFonts w:asciiTheme="minorHAnsi" w:hAnsiTheme="minorHAnsi" w:cstheme="minorHAnsi"/>
          <w:color w:val="000000" w:themeColor="text1"/>
          <w:szCs w:val="20"/>
        </w:rPr>
      </w:pPr>
      <w:r w:rsidRPr="00686268">
        <w:rPr>
          <w:rFonts w:asciiTheme="minorHAnsi" w:hAnsiTheme="minorHAnsi" w:cstheme="minorHAnsi"/>
          <w:color w:val="000000" w:themeColor="text1"/>
          <w:szCs w:val="20"/>
        </w:rPr>
        <w:t>Структура доходів від виробничої та торгової діяльності Компанії:</w:t>
      </w:r>
    </w:p>
    <w:p w14:paraId="05E31085" w14:textId="77777777" w:rsidR="00920BA5" w:rsidRPr="00686268" w:rsidRDefault="00920BA5" w:rsidP="004214A8">
      <w:pPr>
        <w:rPr>
          <w:rFonts w:asciiTheme="minorHAnsi" w:hAnsiTheme="minorHAnsi" w:cstheme="minorHAnsi"/>
          <w:color w:val="000000" w:themeColor="text1"/>
          <w:szCs w:val="20"/>
        </w:rPr>
      </w:pPr>
    </w:p>
    <w:tbl>
      <w:tblPr>
        <w:tblW w:w="4989" w:type="pct"/>
        <w:tblLook w:val="0000" w:firstRow="0" w:lastRow="0" w:firstColumn="0" w:lastColumn="0" w:noHBand="0" w:noVBand="0"/>
      </w:tblPr>
      <w:tblGrid>
        <w:gridCol w:w="5492"/>
        <w:gridCol w:w="2062"/>
        <w:gridCol w:w="2062"/>
      </w:tblGrid>
      <w:tr w:rsidR="00686268" w:rsidRPr="00686268" w14:paraId="48BB60A1" w14:textId="77777777" w:rsidTr="00686268">
        <w:trPr>
          <w:trHeight w:val="510"/>
          <w:tblHeader/>
        </w:trPr>
        <w:tc>
          <w:tcPr>
            <w:tcW w:w="2856" w:type="pct"/>
            <w:tcBorders>
              <w:bottom w:val="single" w:sz="4" w:space="0" w:color="auto"/>
            </w:tcBorders>
            <w:noWrap/>
            <w:vAlign w:val="center"/>
          </w:tcPr>
          <w:p w14:paraId="72FD75E9" w14:textId="023B95C5" w:rsidR="002F4997" w:rsidRPr="00686268" w:rsidRDefault="00EF41A5" w:rsidP="006656B1">
            <w:pPr>
              <w:pStyle w:val="af7"/>
              <w:tabs>
                <w:tab w:val="left" w:pos="2305"/>
              </w:tabs>
              <w:spacing w:before="0" w:after="0"/>
              <w:jc w:val="lef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6</w:t>
            </w:r>
            <w:r w:rsidR="002F4997" w:rsidRPr="00686268">
              <w:rPr>
                <w:rFonts w:asciiTheme="minorHAnsi" w:hAnsiTheme="minorHAnsi" w:cstheme="minorHAnsi"/>
                <w:b/>
                <w:color w:val="000000" w:themeColor="text1"/>
                <w:szCs w:val="20"/>
              </w:rPr>
              <w:t>.1 Доходи від продажу</w:t>
            </w:r>
          </w:p>
        </w:tc>
        <w:tc>
          <w:tcPr>
            <w:tcW w:w="1072" w:type="pct"/>
            <w:tcBorders>
              <w:bottom w:val="single" w:sz="4" w:space="0" w:color="auto"/>
            </w:tcBorders>
            <w:vAlign w:val="bottom"/>
          </w:tcPr>
          <w:p w14:paraId="00A1634F" w14:textId="77777777" w:rsidR="002F4997" w:rsidRPr="00686268" w:rsidRDefault="002F4997" w:rsidP="006656B1">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За рік, що</w:t>
            </w:r>
          </w:p>
          <w:p w14:paraId="4A6B8452" w14:textId="77777777" w:rsidR="002F4997" w:rsidRPr="00686268" w:rsidRDefault="002F4997" w:rsidP="006656B1">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закінчився</w:t>
            </w:r>
          </w:p>
          <w:p w14:paraId="19C02797" w14:textId="554C990C" w:rsidR="002F4997" w:rsidRPr="00686268" w:rsidRDefault="002F4997" w:rsidP="00F83286">
            <w:pPr>
              <w:pStyle w:val="af7"/>
              <w:tabs>
                <w:tab w:val="left" w:pos="2305"/>
              </w:tabs>
              <w:spacing w:before="0" w:after="0"/>
              <w:jc w:val="right"/>
              <w:rPr>
                <w:rFonts w:asciiTheme="minorHAnsi" w:hAnsiTheme="minorHAnsi" w:cstheme="minorHAnsi"/>
                <w:b/>
                <w:color w:val="000000" w:themeColor="text1"/>
                <w:szCs w:val="20"/>
                <w:lang w:val="ru-RU"/>
              </w:rPr>
            </w:pPr>
            <w:r w:rsidRPr="00686268">
              <w:rPr>
                <w:rFonts w:asciiTheme="minorHAnsi" w:hAnsiTheme="minorHAnsi" w:cstheme="minorHAnsi"/>
                <w:b/>
                <w:color w:val="000000" w:themeColor="text1"/>
                <w:szCs w:val="20"/>
              </w:rPr>
              <w:t xml:space="preserve"> 31.12.20</w:t>
            </w:r>
            <w:r w:rsidR="00F83286">
              <w:rPr>
                <w:rFonts w:asciiTheme="minorHAnsi" w:hAnsiTheme="minorHAnsi" w:cstheme="minorHAnsi"/>
                <w:b/>
                <w:color w:val="000000" w:themeColor="text1"/>
                <w:szCs w:val="20"/>
              </w:rPr>
              <w:t>20</w:t>
            </w:r>
          </w:p>
        </w:tc>
        <w:tc>
          <w:tcPr>
            <w:tcW w:w="1072" w:type="pct"/>
            <w:tcBorders>
              <w:bottom w:val="single" w:sz="4" w:space="0" w:color="auto"/>
            </w:tcBorders>
            <w:vAlign w:val="bottom"/>
          </w:tcPr>
          <w:p w14:paraId="7BBB9D13" w14:textId="77777777" w:rsidR="002F4997" w:rsidRPr="00686268" w:rsidRDefault="002F4997" w:rsidP="006656B1">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За рік, що</w:t>
            </w:r>
          </w:p>
          <w:p w14:paraId="6785DE35" w14:textId="77777777" w:rsidR="002F4997" w:rsidRPr="00686268" w:rsidRDefault="002F4997" w:rsidP="006656B1">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закінчився</w:t>
            </w:r>
          </w:p>
          <w:p w14:paraId="15AA7E49" w14:textId="2C5D922E" w:rsidR="002F4997" w:rsidRPr="00686268" w:rsidRDefault="002F4997" w:rsidP="00F83286">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31.12.201</w:t>
            </w:r>
            <w:r w:rsidR="00F83286">
              <w:rPr>
                <w:rFonts w:asciiTheme="minorHAnsi" w:hAnsiTheme="minorHAnsi" w:cstheme="minorHAnsi"/>
                <w:b/>
                <w:color w:val="000000" w:themeColor="text1"/>
                <w:szCs w:val="20"/>
              </w:rPr>
              <w:t>9</w:t>
            </w:r>
          </w:p>
        </w:tc>
      </w:tr>
      <w:tr w:rsidR="00F83286" w:rsidRPr="00686268" w14:paraId="53D247C2" w14:textId="77777777" w:rsidTr="00686268">
        <w:trPr>
          <w:trHeight w:val="255"/>
        </w:trPr>
        <w:tc>
          <w:tcPr>
            <w:tcW w:w="2856" w:type="pct"/>
            <w:tcBorders>
              <w:top w:val="single" w:sz="4" w:space="0" w:color="auto"/>
            </w:tcBorders>
            <w:noWrap/>
            <w:vAlign w:val="bottom"/>
          </w:tcPr>
          <w:p w14:paraId="5776DD79" w14:textId="77777777" w:rsidR="00F83286" w:rsidRPr="00686268" w:rsidRDefault="00F83286" w:rsidP="00F83286">
            <w:pPr>
              <w:jc w:val="left"/>
              <w:rPr>
                <w:rFonts w:asciiTheme="minorHAnsi" w:hAnsiTheme="minorHAnsi" w:cstheme="minorHAnsi"/>
                <w:color w:val="000000" w:themeColor="text1"/>
                <w:szCs w:val="20"/>
              </w:rPr>
            </w:pPr>
            <w:r w:rsidRPr="00686268">
              <w:rPr>
                <w:rFonts w:asciiTheme="minorHAnsi" w:hAnsiTheme="minorHAnsi" w:cstheme="minorHAnsi"/>
                <w:color w:val="000000" w:themeColor="text1"/>
                <w:szCs w:val="20"/>
              </w:rPr>
              <w:t>Доходи від продажу готової продукції</w:t>
            </w:r>
          </w:p>
        </w:tc>
        <w:tc>
          <w:tcPr>
            <w:tcW w:w="1072" w:type="pct"/>
            <w:tcBorders>
              <w:top w:val="single" w:sz="4" w:space="0" w:color="auto"/>
            </w:tcBorders>
            <w:vAlign w:val="bottom"/>
          </w:tcPr>
          <w:p w14:paraId="061B54C2" w14:textId="1A5C92DD" w:rsidR="00F83286" w:rsidRPr="005E0C91" w:rsidRDefault="005E0C91" w:rsidP="00F83286">
            <w:pPr>
              <w:jc w:val="right"/>
              <w:rPr>
                <w:rFonts w:asciiTheme="minorHAnsi" w:hAnsiTheme="minorHAnsi" w:cstheme="minorHAnsi"/>
                <w:color w:val="000000" w:themeColor="text1"/>
                <w:szCs w:val="20"/>
                <w:lang w:val="ru-RU"/>
              </w:rPr>
            </w:pPr>
            <w:r w:rsidRPr="005E0C91">
              <w:rPr>
                <w:color w:val="000000" w:themeColor="text1"/>
                <w:szCs w:val="20"/>
              </w:rPr>
              <w:t>1 233 469</w:t>
            </w:r>
          </w:p>
        </w:tc>
        <w:tc>
          <w:tcPr>
            <w:tcW w:w="1072" w:type="pct"/>
            <w:tcBorders>
              <w:top w:val="single" w:sz="4" w:space="0" w:color="auto"/>
            </w:tcBorders>
            <w:vAlign w:val="bottom"/>
          </w:tcPr>
          <w:p w14:paraId="618F5C3C" w14:textId="246FDA15"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1 575 293 </w:t>
            </w:r>
          </w:p>
        </w:tc>
      </w:tr>
      <w:tr w:rsidR="00F83286" w:rsidRPr="00686268" w14:paraId="22A26112" w14:textId="77777777" w:rsidTr="00686268">
        <w:trPr>
          <w:trHeight w:val="255"/>
        </w:trPr>
        <w:tc>
          <w:tcPr>
            <w:tcW w:w="2856" w:type="pct"/>
            <w:noWrap/>
            <w:vAlign w:val="bottom"/>
          </w:tcPr>
          <w:p w14:paraId="4517AEC6" w14:textId="77777777" w:rsidR="00F83286" w:rsidRPr="00686268" w:rsidRDefault="00F83286" w:rsidP="00F83286">
            <w:pPr>
              <w:jc w:val="left"/>
              <w:rPr>
                <w:rFonts w:asciiTheme="minorHAnsi" w:hAnsiTheme="minorHAnsi" w:cstheme="minorHAnsi"/>
                <w:color w:val="000000" w:themeColor="text1"/>
                <w:szCs w:val="20"/>
              </w:rPr>
            </w:pPr>
            <w:r w:rsidRPr="00686268">
              <w:rPr>
                <w:rFonts w:asciiTheme="minorHAnsi" w:hAnsiTheme="minorHAnsi" w:cstheme="minorHAnsi"/>
                <w:color w:val="000000" w:themeColor="text1"/>
                <w:szCs w:val="20"/>
              </w:rPr>
              <w:t>Доходи від продажу товарів</w:t>
            </w:r>
          </w:p>
        </w:tc>
        <w:tc>
          <w:tcPr>
            <w:tcW w:w="1072" w:type="pct"/>
            <w:vAlign w:val="bottom"/>
          </w:tcPr>
          <w:p w14:paraId="3898BED7" w14:textId="34A0DCEA" w:rsidR="00F83286" w:rsidRPr="005E0C91" w:rsidRDefault="005E0C91" w:rsidP="00F83286">
            <w:pPr>
              <w:jc w:val="right"/>
              <w:rPr>
                <w:rFonts w:asciiTheme="minorHAnsi" w:hAnsiTheme="minorHAnsi" w:cstheme="minorHAnsi"/>
                <w:color w:val="000000" w:themeColor="text1"/>
                <w:szCs w:val="20"/>
                <w:lang w:val="ru-RU"/>
              </w:rPr>
            </w:pPr>
            <w:r w:rsidRPr="005E0C91">
              <w:rPr>
                <w:color w:val="000000" w:themeColor="text1"/>
                <w:szCs w:val="20"/>
              </w:rPr>
              <w:t>27 366</w:t>
            </w:r>
            <w:r w:rsidR="00F83286" w:rsidRPr="005E0C91">
              <w:rPr>
                <w:color w:val="000000" w:themeColor="text1"/>
                <w:szCs w:val="20"/>
              </w:rPr>
              <w:t xml:space="preserve"> </w:t>
            </w:r>
          </w:p>
        </w:tc>
        <w:tc>
          <w:tcPr>
            <w:tcW w:w="1072" w:type="pct"/>
            <w:vAlign w:val="bottom"/>
          </w:tcPr>
          <w:p w14:paraId="56DE20EF" w14:textId="227BDD93"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49 877 </w:t>
            </w:r>
          </w:p>
        </w:tc>
      </w:tr>
      <w:tr w:rsidR="00F83286" w:rsidRPr="00686268" w14:paraId="0AF934D2" w14:textId="77777777" w:rsidTr="00686268">
        <w:trPr>
          <w:trHeight w:val="255"/>
        </w:trPr>
        <w:tc>
          <w:tcPr>
            <w:tcW w:w="2856" w:type="pct"/>
            <w:noWrap/>
            <w:vAlign w:val="bottom"/>
          </w:tcPr>
          <w:p w14:paraId="4A72A6C3" w14:textId="77777777" w:rsidR="00F83286" w:rsidRPr="00686268" w:rsidRDefault="00F83286" w:rsidP="00F83286">
            <w:pPr>
              <w:jc w:val="left"/>
              <w:rPr>
                <w:rFonts w:asciiTheme="minorHAnsi" w:hAnsiTheme="minorHAnsi" w:cstheme="minorHAnsi"/>
                <w:color w:val="000000" w:themeColor="text1"/>
                <w:szCs w:val="20"/>
              </w:rPr>
            </w:pPr>
            <w:r w:rsidRPr="00686268">
              <w:rPr>
                <w:rFonts w:asciiTheme="minorHAnsi" w:hAnsiTheme="minorHAnsi" w:cstheme="minorHAnsi"/>
                <w:color w:val="000000" w:themeColor="text1"/>
                <w:szCs w:val="20"/>
              </w:rPr>
              <w:t>Доходи від реалізації послуг</w:t>
            </w:r>
          </w:p>
        </w:tc>
        <w:tc>
          <w:tcPr>
            <w:tcW w:w="1072" w:type="pct"/>
            <w:vAlign w:val="bottom"/>
          </w:tcPr>
          <w:p w14:paraId="2B745BA9" w14:textId="573C55B9" w:rsidR="00F83286" w:rsidRPr="005E0C91" w:rsidRDefault="005E0C91" w:rsidP="00F83286">
            <w:pPr>
              <w:jc w:val="right"/>
              <w:rPr>
                <w:rFonts w:asciiTheme="minorHAnsi" w:hAnsiTheme="minorHAnsi" w:cstheme="minorHAnsi"/>
                <w:color w:val="000000" w:themeColor="text1"/>
                <w:szCs w:val="20"/>
                <w:lang w:val="ru-RU"/>
              </w:rPr>
            </w:pPr>
            <w:r w:rsidRPr="005E0C91">
              <w:rPr>
                <w:color w:val="000000" w:themeColor="text1"/>
                <w:szCs w:val="20"/>
              </w:rPr>
              <w:t>6 378</w:t>
            </w:r>
            <w:r w:rsidR="00F83286" w:rsidRPr="005E0C91">
              <w:rPr>
                <w:color w:val="000000" w:themeColor="text1"/>
                <w:szCs w:val="20"/>
              </w:rPr>
              <w:t xml:space="preserve"> </w:t>
            </w:r>
          </w:p>
        </w:tc>
        <w:tc>
          <w:tcPr>
            <w:tcW w:w="1072" w:type="pct"/>
            <w:vAlign w:val="bottom"/>
          </w:tcPr>
          <w:p w14:paraId="29ED2D8D" w14:textId="08A34B77"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8 459 </w:t>
            </w:r>
          </w:p>
        </w:tc>
      </w:tr>
      <w:tr w:rsidR="00F83286" w:rsidRPr="00686268" w14:paraId="24B58EF7" w14:textId="77777777" w:rsidTr="00686268">
        <w:trPr>
          <w:trHeight w:val="255"/>
        </w:trPr>
        <w:tc>
          <w:tcPr>
            <w:tcW w:w="2856" w:type="pct"/>
            <w:tcBorders>
              <w:top w:val="single" w:sz="4" w:space="0" w:color="auto"/>
            </w:tcBorders>
            <w:noWrap/>
            <w:vAlign w:val="bottom"/>
          </w:tcPr>
          <w:p w14:paraId="156C116B" w14:textId="77777777" w:rsidR="00F83286" w:rsidRPr="00686268" w:rsidRDefault="00F83286" w:rsidP="00F83286">
            <w:pPr>
              <w:pStyle w:val="af7"/>
              <w:spacing w:before="0" w:after="0"/>
              <w:jc w:val="lef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Разом:</w:t>
            </w:r>
          </w:p>
        </w:tc>
        <w:tc>
          <w:tcPr>
            <w:tcW w:w="1072" w:type="pct"/>
            <w:tcBorders>
              <w:top w:val="single" w:sz="4" w:space="0" w:color="auto"/>
            </w:tcBorders>
            <w:vAlign w:val="bottom"/>
          </w:tcPr>
          <w:p w14:paraId="6DE4E107" w14:textId="4D49A04A" w:rsidR="00F83286" w:rsidRPr="00686268" w:rsidRDefault="00F83286" w:rsidP="00F83286">
            <w:pPr>
              <w:jc w:val="right"/>
              <w:rPr>
                <w:rFonts w:asciiTheme="minorHAnsi" w:hAnsiTheme="minorHAnsi" w:cstheme="minorHAnsi"/>
                <w:b/>
                <w:bCs/>
                <w:color w:val="000000" w:themeColor="text1"/>
                <w:szCs w:val="20"/>
              </w:rPr>
            </w:pPr>
            <w:r w:rsidRPr="00686268">
              <w:rPr>
                <w:b/>
                <w:bCs/>
                <w:color w:val="000000" w:themeColor="text1"/>
                <w:szCs w:val="20"/>
              </w:rPr>
              <w:t xml:space="preserve">1 </w:t>
            </w:r>
            <w:r>
              <w:rPr>
                <w:b/>
                <w:bCs/>
                <w:color w:val="000000" w:themeColor="text1"/>
                <w:szCs w:val="20"/>
              </w:rPr>
              <w:t>267</w:t>
            </w:r>
            <w:r w:rsidRPr="00686268">
              <w:rPr>
                <w:b/>
                <w:bCs/>
                <w:color w:val="000000" w:themeColor="text1"/>
                <w:szCs w:val="20"/>
              </w:rPr>
              <w:t xml:space="preserve"> </w:t>
            </w:r>
            <w:r>
              <w:rPr>
                <w:b/>
                <w:bCs/>
                <w:color w:val="000000" w:themeColor="text1"/>
                <w:szCs w:val="20"/>
              </w:rPr>
              <w:t>213</w:t>
            </w:r>
            <w:r w:rsidRPr="00686268">
              <w:rPr>
                <w:b/>
                <w:bCs/>
                <w:color w:val="000000" w:themeColor="text1"/>
                <w:szCs w:val="20"/>
              </w:rPr>
              <w:t xml:space="preserve"> </w:t>
            </w:r>
          </w:p>
        </w:tc>
        <w:tc>
          <w:tcPr>
            <w:tcW w:w="1072" w:type="pct"/>
            <w:tcBorders>
              <w:top w:val="single" w:sz="4" w:space="0" w:color="auto"/>
            </w:tcBorders>
            <w:vAlign w:val="bottom"/>
          </w:tcPr>
          <w:p w14:paraId="0099BB5D" w14:textId="46A2D7D8" w:rsidR="00F83286" w:rsidRPr="00686268" w:rsidRDefault="00F83286" w:rsidP="00F83286">
            <w:pPr>
              <w:jc w:val="right"/>
              <w:rPr>
                <w:rFonts w:asciiTheme="minorHAnsi" w:hAnsiTheme="minorHAnsi" w:cstheme="minorHAnsi"/>
                <w:b/>
                <w:bCs/>
                <w:color w:val="000000" w:themeColor="text1"/>
                <w:szCs w:val="20"/>
              </w:rPr>
            </w:pPr>
            <w:r w:rsidRPr="00686268">
              <w:rPr>
                <w:b/>
                <w:bCs/>
                <w:color w:val="000000" w:themeColor="text1"/>
                <w:szCs w:val="20"/>
              </w:rPr>
              <w:t xml:space="preserve">1 633 629 </w:t>
            </w:r>
          </w:p>
        </w:tc>
      </w:tr>
    </w:tbl>
    <w:p w14:paraId="09D1E22D" w14:textId="2100C4C8" w:rsidR="00061732" w:rsidRPr="00686268" w:rsidRDefault="00061732" w:rsidP="00567D2A">
      <w:pPr>
        <w:rPr>
          <w:rFonts w:asciiTheme="minorHAnsi" w:hAnsiTheme="minorHAnsi" w:cstheme="minorHAnsi"/>
          <w:color w:val="000000" w:themeColor="text1"/>
        </w:rPr>
      </w:pPr>
    </w:p>
    <w:p w14:paraId="358A0380" w14:textId="77777777" w:rsidR="00EF41A5" w:rsidRPr="00A22CC4" w:rsidRDefault="00EF41A5" w:rsidP="00567D2A">
      <w:pPr>
        <w:rPr>
          <w:rFonts w:asciiTheme="minorHAnsi" w:hAnsiTheme="minorHAnsi" w:cstheme="minorHAnsi"/>
          <w:color w:val="FF0000"/>
        </w:rPr>
      </w:pPr>
    </w:p>
    <w:tbl>
      <w:tblPr>
        <w:tblW w:w="4999" w:type="pct"/>
        <w:tblLook w:val="0000" w:firstRow="0" w:lastRow="0" w:firstColumn="0" w:lastColumn="0" w:noHBand="0" w:noVBand="0"/>
      </w:tblPr>
      <w:tblGrid>
        <w:gridCol w:w="5515"/>
        <w:gridCol w:w="2060"/>
        <w:gridCol w:w="2060"/>
      </w:tblGrid>
      <w:tr w:rsidR="00A22CC4" w:rsidRPr="00A22CC4" w14:paraId="297013B1" w14:textId="77777777" w:rsidTr="00EF41A5">
        <w:trPr>
          <w:trHeight w:val="510"/>
          <w:tblHeader/>
        </w:trPr>
        <w:tc>
          <w:tcPr>
            <w:tcW w:w="2862" w:type="pct"/>
            <w:tcBorders>
              <w:bottom w:val="single" w:sz="4" w:space="0" w:color="auto"/>
            </w:tcBorders>
            <w:vAlign w:val="center"/>
          </w:tcPr>
          <w:p w14:paraId="53DE9650" w14:textId="6E23598E" w:rsidR="00EF41A5" w:rsidRPr="00686268" w:rsidRDefault="00EF41A5" w:rsidP="00CF2788">
            <w:pPr>
              <w:pStyle w:val="af7"/>
              <w:tabs>
                <w:tab w:val="left" w:pos="2305"/>
              </w:tabs>
              <w:spacing w:before="0" w:after="0"/>
              <w:jc w:val="left"/>
              <w:rPr>
                <w:rFonts w:asciiTheme="minorHAnsi" w:hAnsiTheme="minorHAnsi" w:cstheme="minorHAnsi"/>
                <w:b/>
                <w:bCs/>
                <w:color w:val="000000" w:themeColor="text1"/>
                <w:szCs w:val="20"/>
              </w:rPr>
            </w:pPr>
            <w:r w:rsidRPr="00686268">
              <w:rPr>
                <w:rFonts w:asciiTheme="minorHAnsi" w:hAnsiTheme="minorHAnsi" w:cstheme="minorHAnsi"/>
                <w:b/>
                <w:color w:val="000000" w:themeColor="text1"/>
                <w:szCs w:val="20"/>
              </w:rPr>
              <w:t>6.2 Інші операційні</w:t>
            </w:r>
            <w:r w:rsidR="00CF2788">
              <w:rPr>
                <w:rFonts w:asciiTheme="minorHAnsi" w:hAnsiTheme="minorHAnsi" w:cstheme="minorHAnsi"/>
                <w:b/>
                <w:color w:val="000000" w:themeColor="text1"/>
                <w:szCs w:val="20"/>
              </w:rPr>
              <w:t xml:space="preserve"> </w:t>
            </w:r>
            <w:r w:rsidRPr="00686268">
              <w:rPr>
                <w:rFonts w:asciiTheme="minorHAnsi" w:hAnsiTheme="minorHAnsi" w:cstheme="minorHAnsi"/>
                <w:b/>
                <w:color w:val="000000" w:themeColor="text1"/>
                <w:szCs w:val="20"/>
              </w:rPr>
              <w:t>та інші доходи</w:t>
            </w:r>
          </w:p>
        </w:tc>
        <w:tc>
          <w:tcPr>
            <w:tcW w:w="1069" w:type="pct"/>
            <w:tcBorders>
              <w:bottom w:val="single" w:sz="4" w:space="0" w:color="auto"/>
            </w:tcBorders>
            <w:vAlign w:val="bottom"/>
          </w:tcPr>
          <w:p w14:paraId="704E315C" w14:textId="77777777" w:rsidR="00EF41A5" w:rsidRPr="00686268" w:rsidRDefault="00EF41A5" w:rsidP="00EF41A5">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За рік, що</w:t>
            </w:r>
          </w:p>
          <w:p w14:paraId="02C89B20" w14:textId="77777777" w:rsidR="00EF41A5" w:rsidRPr="00686268" w:rsidRDefault="00EF41A5" w:rsidP="00EF41A5">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закінчився</w:t>
            </w:r>
          </w:p>
          <w:p w14:paraId="4767AB1C" w14:textId="28912B53" w:rsidR="00EF41A5" w:rsidRPr="00686268" w:rsidRDefault="00EF41A5" w:rsidP="00F83286">
            <w:pPr>
              <w:pStyle w:val="af7"/>
              <w:tabs>
                <w:tab w:val="left" w:pos="2305"/>
              </w:tabs>
              <w:spacing w:before="0" w:after="0"/>
              <w:jc w:val="right"/>
              <w:rPr>
                <w:rFonts w:asciiTheme="minorHAnsi" w:hAnsiTheme="minorHAnsi" w:cstheme="minorHAnsi"/>
                <w:b/>
                <w:color w:val="000000" w:themeColor="text1"/>
                <w:szCs w:val="20"/>
                <w:lang w:val="ru-RU"/>
              </w:rPr>
            </w:pPr>
            <w:r w:rsidRPr="00686268">
              <w:rPr>
                <w:rFonts w:asciiTheme="minorHAnsi" w:hAnsiTheme="minorHAnsi" w:cstheme="minorHAnsi"/>
                <w:b/>
                <w:color w:val="000000" w:themeColor="text1"/>
                <w:szCs w:val="20"/>
              </w:rPr>
              <w:t xml:space="preserve"> 31.12.20</w:t>
            </w:r>
            <w:r w:rsidR="00F83286">
              <w:rPr>
                <w:rFonts w:asciiTheme="minorHAnsi" w:hAnsiTheme="minorHAnsi" w:cstheme="minorHAnsi"/>
                <w:b/>
                <w:color w:val="000000" w:themeColor="text1"/>
                <w:szCs w:val="20"/>
              </w:rPr>
              <w:t>20</w:t>
            </w:r>
          </w:p>
        </w:tc>
        <w:tc>
          <w:tcPr>
            <w:tcW w:w="1069" w:type="pct"/>
            <w:tcBorders>
              <w:bottom w:val="single" w:sz="4" w:space="0" w:color="auto"/>
            </w:tcBorders>
            <w:vAlign w:val="bottom"/>
          </w:tcPr>
          <w:p w14:paraId="73CE79C8" w14:textId="77777777" w:rsidR="00EF41A5" w:rsidRPr="00686268" w:rsidRDefault="00EF41A5" w:rsidP="00EF41A5">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За рік, що</w:t>
            </w:r>
          </w:p>
          <w:p w14:paraId="5322E9F6" w14:textId="77777777" w:rsidR="00EF41A5" w:rsidRPr="00686268" w:rsidRDefault="00EF41A5" w:rsidP="00EF41A5">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закінчився</w:t>
            </w:r>
          </w:p>
          <w:p w14:paraId="462235A0" w14:textId="36BBD155" w:rsidR="00EF41A5" w:rsidRPr="00686268" w:rsidRDefault="00EF41A5" w:rsidP="00F83286">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31.12.20</w:t>
            </w:r>
            <w:r w:rsidR="00F83286">
              <w:rPr>
                <w:rFonts w:asciiTheme="minorHAnsi" w:hAnsiTheme="minorHAnsi" w:cstheme="minorHAnsi"/>
                <w:b/>
                <w:color w:val="000000" w:themeColor="text1"/>
                <w:szCs w:val="20"/>
              </w:rPr>
              <w:t>19</w:t>
            </w:r>
          </w:p>
        </w:tc>
      </w:tr>
      <w:tr w:rsidR="00F83286" w:rsidRPr="00A22CC4" w14:paraId="3A478A5F" w14:textId="77777777" w:rsidTr="00EF41A5">
        <w:trPr>
          <w:trHeight w:val="255"/>
          <w:tblHeader/>
        </w:trPr>
        <w:tc>
          <w:tcPr>
            <w:tcW w:w="2862" w:type="pct"/>
            <w:vAlign w:val="bottom"/>
          </w:tcPr>
          <w:p w14:paraId="15AEDACC" w14:textId="4B0501CE" w:rsidR="00F83286" w:rsidRPr="00686268" w:rsidRDefault="00F83286" w:rsidP="00F83286">
            <w:pPr>
              <w:jc w:val="left"/>
              <w:rPr>
                <w:color w:val="000000" w:themeColor="text1"/>
                <w:szCs w:val="20"/>
              </w:rPr>
            </w:pPr>
            <w:r w:rsidRPr="00686268">
              <w:rPr>
                <w:color w:val="000000" w:themeColor="text1"/>
                <w:szCs w:val="20"/>
              </w:rPr>
              <w:t>Прибуток від реалізації інших оборотних активів</w:t>
            </w:r>
          </w:p>
        </w:tc>
        <w:tc>
          <w:tcPr>
            <w:tcW w:w="1069" w:type="pct"/>
            <w:vAlign w:val="bottom"/>
          </w:tcPr>
          <w:p w14:paraId="700C836C" w14:textId="646B69BE" w:rsidR="00F83286" w:rsidRPr="00BC3BF1" w:rsidRDefault="00BC3BF1" w:rsidP="00F83286">
            <w:pPr>
              <w:jc w:val="right"/>
              <w:rPr>
                <w:color w:val="000000" w:themeColor="text1"/>
                <w:szCs w:val="20"/>
                <w:lang w:val="ru-RU"/>
              </w:rPr>
            </w:pPr>
            <w:r w:rsidRPr="00BC3BF1">
              <w:rPr>
                <w:color w:val="000000" w:themeColor="text1"/>
                <w:szCs w:val="20"/>
              </w:rPr>
              <w:t>6 239</w:t>
            </w:r>
            <w:r w:rsidR="00F83286" w:rsidRPr="00BC3BF1">
              <w:rPr>
                <w:color w:val="000000" w:themeColor="text1"/>
                <w:szCs w:val="20"/>
              </w:rPr>
              <w:t xml:space="preserve"> </w:t>
            </w:r>
          </w:p>
        </w:tc>
        <w:tc>
          <w:tcPr>
            <w:tcW w:w="1069" w:type="pct"/>
            <w:vAlign w:val="bottom"/>
          </w:tcPr>
          <w:p w14:paraId="2B1AB2BB" w14:textId="656B2469" w:rsidR="00F83286" w:rsidRPr="00686268" w:rsidRDefault="00F83286" w:rsidP="00F83286">
            <w:pPr>
              <w:jc w:val="right"/>
              <w:rPr>
                <w:color w:val="000000" w:themeColor="text1"/>
                <w:szCs w:val="20"/>
              </w:rPr>
            </w:pPr>
            <w:r>
              <w:rPr>
                <w:color w:val="000000" w:themeColor="text1"/>
                <w:szCs w:val="20"/>
              </w:rPr>
              <w:t>959</w:t>
            </w:r>
            <w:r w:rsidRPr="00686268">
              <w:rPr>
                <w:color w:val="000000" w:themeColor="text1"/>
                <w:szCs w:val="20"/>
              </w:rPr>
              <w:t xml:space="preserve"> </w:t>
            </w:r>
          </w:p>
        </w:tc>
      </w:tr>
      <w:tr w:rsidR="00F83286" w:rsidRPr="00A22CC4" w14:paraId="1A5BFA13" w14:textId="77777777" w:rsidTr="00EF41A5">
        <w:trPr>
          <w:trHeight w:val="255"/>
          <w:tblHeader/>
        </w:trPr>
        <w:tc>
          <w:tcPr>
            <w:tcW w:w="2862" w:type="pct"/>
            <w:vAlign w:val="bottom"/>
          </w:tcPr>
          <w:p w14:paraId="08916A2D" w14:textId="1A231407"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Чистий прибуток від курсових різниць</w:t>
            </w:r>
          </w:p>
        </w:tc>
        <w:tc>
          <w:tcPr>
            <w:tcW w:w="1069" w:type="pct"/>
            <w:vAlign w:val="bottom"/>
          </w:tcPr>
          <w:p w14:paraId="4DA2F2C6" w14:textId="400C9C07" w:rsidR="00F83286" w:rsidRPr="00BC3BF1" w:rsidRDefault="00EA1F03" w:rsidP="00F83286">
            <w:pPr>
              <w:jc w:val="right"/>
              <w:rPr>
                <w:rFonts w:asciiTheme="minorHAnsi" w:hAnsiTheme="minorHAnsi" w:cstheme="minorHAnsi"/>
                <w:color w:val="000000" w:themeColor="text1"/>
                <w:szCs w:val="20"/>
                <w:lang w:val="ru-RU"/>
              </w:rPr>
            </w:pPr>
            <w:r>
              <w:rPr>
                <w:rFonts w:asciiTheme="minorHAnsi" w:hAnsiTheme="minorHAnsi" w:cstheme="minorHAnsi"/>
                <w:color w:val="000000" w:themeColor="text1"/>
                <w:szCs w:val="20"/>
                <w:lang w:val="ru-RU"/>
              </w:rPr>
              <w:t>-</w:t>
            </w:r>
          </w:p>
        </w:tc>
        <w:tc>
          <w:tcPr>
            <w:tcW w:w="1069" w:type="pct"/>
            <w:vAlign w:val="bottom"/>
          </w:tcPr>
          <w:p w14:paraId="7F487922" w14:textId="5A60C5C8"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4 779 </w:t>
            </w:r>
          </w:p>
        </w:tc>
      </w:tr>
      <w:tr w:rsidR="00F83286" w:rsidRPr="00A22CC4" w14:paraId="6D8299DC" w14:textId="77777777" w:rsidTr="00EF41A5">
        <w:trPr>
          <w:trHeight w:val="255"/>
          <w:tblHeader/>
        </w:trPr>
        <w:tc>
          <w:tcPr>
            <w:tcW w:w="2862" w:type="pct"/>
            <w:vAlign w:val="bottom"/>
          </w:tcPr>
          <w:p w14:paraId="1F19C094" w14:textId="4EC4225D"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Дохід від списання зобов'язань</w:t>
            </w:r>
          </w:p>
        </w:tc>
        <w:tc>
          <w:tcPr>
            <w:tcW w:w="1069" w:type="pct"/>
            <w:vAlign w:val="bottom"/>
          </w:tcPr>
          <w:p w14:paraId="39FDB7A5" w14:textId="47C5CAF7" w:rsidR="00F83286" w:rsidRPr="00BC3BF1" w:rsidRDefault="00BC3BF1" w:rsidP="00F83286">
            <w:pPr>
              <w:jc w:val="right"/>
              <w:rPr>
                <w:rFonts w:asciiTheme="minorHAnsi" w:hAnsiTheme="minorHAnsi" w:cstheme="minorHAnsi"/>
                <w:color w:val="000000" w:themeColor="text1"/>
                <w:szCs w:val="20"/>
                <w:lang w:val="ru-RU"/>
              </w:rPr>
            </w:pPr>
            <w:r w:rsidRPr="00BC3BF1">
              <w:rPr>
                <w:color w:val="000000" w:themeColor="text1"/>
                <w:szCs w:val="20"/>
              </w:rPr>
              <w:t>139</w:t>
            </w:r>
          </w:p>
        </w:tc>
        <w:tc>
          <w:tcPr>
            <w:tcW w:w="1069" w:type="pct"/>
            <w:vAlign w:val="bottom"/>
          </w:tcPr>
          <w:p w14:paraId="557B1287" w14:textId="3848852C"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235 </w:t>
            </w:r>
          </w:p>
        </w:tc>
      </w:tr>
      <w:tr w:rsidR="00F83286" w:rsidRPr="00A22CC4" w14:paraId="06A60B07" w14:textId="77777777" w:rsidTr="00EF41A5">
        <w:trPr>
          <w:trHeight w:val="255"/>
          <w:tblHeader/>
        </w:trPr>
        <w:tc>
          <w:tcPr>
            <w:tcW w:w="2862" w:type="pct"/>
            <w:vAlign w:val="bottom"/>
          </w:tcPr>
          <w:p w14:paraId="5C5F4075" w14:textId="5567311C"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Доходи від безоплатно одержаних оборотних активів</w:t>
            </w:r>
          </w:p>
        </w:tc>
        <w:tc>
          <w:tcPr>
            <w:tcW w:w="1069" w:type="pct"/>
            <w:vAlign w:val="bottom"/>
          </w:tcPr>
          <w:p w14:paraId="4D38B78C" w14:textId="78F82E82" w:rsidR="00F83286" w:rsidRPr="00BC3BF1" w:rsidRDefault="00BC3BF1" w:rsidP="00F83286">
            <w:pPr>
              <w:jc w:val="right"/>
              <w:rPr>
                <w:rFonts w:asciiTheme="minorHAnsi" w:hAnsiTheme="minorHAnsi" w:cstheme="minorHAnsi"/>
                <w:color w:val="000000" w:themeColor="text1"/>
                <w:szCs w:val="20"/>
                <w:lang w:val="ru-RU"/>
              </w:rPr>
            </w:pPr>
            <w:r w:rsidRPr="00BC3BF1">
              <w:rPr>
                <w:color w:val="000000" w:themeColor="text1"/>
                <w:szCs w:val="20"/>
              </w:rPr>
              <w:t>183</w:t>
            </w:r>
            <w:r w:rsidR="00F83286" w:rsidRPr="00BC3BF1">
              <w:rPr>
                <w:color w:val="000000" w:themeColor="text1"/>
                <w:szCs w:val="20"/>
              </w:rPr>
              <w:t xml:space="preserve"> </w:t>
            </w:r>
          </w:p>
        </w:tc>
        <w:tc>
          <w:tcPr>
            <w:tcW w:w="1069" w:type="pct"/>
            <w:vAlign w:val="bottom"/>
          </w:tcPr>
          <w:p w14:paraId="13E6570B" w14:textId="463B9754"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32 </w:t>
            </w:r>
          </w:p>
        </w:tc>
      </w:tr>
      <w:tr w:rsidR="00F83286" w:rsidRPr="00A22CC4" w14:paraId="25DA4944" w14:textId="77777777" w:rsidTr="00EF41A5">
        <w:trPr>
          <w:trHeight w:val="255"/>
          <w:tblHeader/>
        </w:trPr>
        <w:tc>
          <w:tcPr>
            <w:tcW w:w="2862" w:type="pct"/>
            <w:vAlign w:val="bottom"/>
          </w:tcPr>
          <w:p w14:paraId="6EE4B53D" w14:textId="72D3EB84"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Відшкодування раніше списаних активів</w:t>
            </w:r>
          </w:p>
        </w:tc>
        <w:tc>
          <w:tcPr>
            <w:tcW w:w="1069" w:type="pct"/>
            <w:vAlign w:val="bottom"/>
          </w:tcPr>
          <w:p w14:paraId="5709D49D" w14:textId="7C73C875" w:rsidR="00F83286" w:rsidRPr="00BC3BF1" w:rsidRDefault="00BC3BF1" w:rsidP="00F83286">
            <w:pPr>
              <w:jc w:val="right"/>
              <w:rPr>
                <w:rFonts w:asciiTheme="minorHAnsi" w:hAnsiTheme="minorHAnsi" w:cstheme="minorHAnsi"/>
                <w:color w:val="000000" w:themeColor="text1"/>
                <w:szCs w:val="20"/>
                <w:lang w:val="ru-RU"/>
              </w:rPr>
            </w:pPr>
            <w:r w:rsidRPr="00BC3BF1">
              <w:rPr>
                <w:color w:val="000000" w:themeColor="text1"/>
                <w:szCs w:val="20"/>
              </w:rPr>
              <w:t>161 207</w:t>
            </w:r>
            <w:r w:rsidR="00F83286" w:rsidRPr="00BC3BF1">
              <w:rPr>
                <w:color w:val="000000" w:themeColor="text1"/>
                <w:szCs w:val="20"/>
              </w:rPr>
              <w:t xml:space="preserve"> </w:t>
            </w:r>
          </w:p>
        </w:tc>
        <w:tc>
          <w:tcPr>
            <w:tcW w:w="1069" w:type="pct"/>
            <w:vAlign w:val="bottom"/>
          </w:tcPr>
          <w:p w14:paraId="2F2E7F66" w14:textId="085EDB2A"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159 716 </w:t>
            </w:r>
          </w:p>
        </w:tc>
      </w:tr>
      <w:tr w:rsidR="00F83286" w:rsidRPr="00A22CC4" w14:paraId="1BC4FA59" w14:textId="77777777" w:rsidTr="00EF41A5">
        <w:trPr>
          <w:trHeight w:val="255"/>
          <w:tblHeader/>
        </w:trPr>
        <w:tc>
          <w:tcPr>
            <w:tcW w:w="2862" w:type="pct"/>
            <w:vAlign w:val="bottom"/>
          </w:tcPr>
          <w:p w14:paraId="3B8B08B4" w14:textId="46FF19D1"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Дохід від операційної оренди активів</w:t>
            </w:r>
          </w:p>
        </w:tc>
        <w:tc>
          <w:tcPr>
            <w:tcW w:w="1069" w:type="pct"/>
            <w:vAlign w:val="bottom"/>
          </w:tcPr>
          <w:p w14:paraId="5FD9A9FF" w14:textId="22FB43A9" w:rsidR="00F83286" w:rsidRPr="00BC3BF1" w:rsidRDefault="00BC3BF1" w:rsidP="00F83286">
            <w:pPr>
              <w:jc w:val="right"/>
              <w:rPr>
                <w:rFonts w:asciiTheme="minorHAnsi" w:hAnsiTheme="minorHAnsi" w:cstheme="minorHAnsi"/>
                <w:color w:val="000000" w:themeColor="text1"/>
                <w:szCs w:val="20"/>
                <w:lang w:val="ru-RU"/>
              </w:rPr>
            </w:pPr>
            <w:r w:rsidRPr="00BC3BF1">
              <w:rPr>
                <w:color w:val="000000" w:themeColor="text1"/>
                <w:szCs w:val="20"/>
              </w:rPr>
              <w:t>358</w:t>
            </w:r>
            <w:r w:rsidR="00F83286" w:rsidRPr="00BC3BF1">
              <w:rPr>
                <w:color w:val="000000" w:themeColor="text1"/>
                <w:szCs w:val="20"/>
              </w:rPr>
              <w:t xml:space="preserve"> </w:t>
            </w:r>
          </w:p>
        </w:tc>
        <w:tc>
          <w:tcPr>
            <w:tcW w:w="1069" w:type="pct"/>
            <w:vAlign w:val="bottom"/>
          </w:tcPr>
          <w:p w14:paraId="3C5B75DA" w14:textId="3F7F52E7"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255 </w:t>
            </w:r>
          </w:p>
        </w:tc>
      </w:tr>
      <w:tr w:rsidR="00F83286" w:rsidRPr="00A22CC4" w14:paraId="04CB7825" w14:textId="77777777" w:rsidTr="00EF41A5">
        <w:trPr>
          <w:trHeight w:val="255"/>
          <w:tblHeader/>
        </w:trPr>
        <w:tc>
          <w:tcPr>
            <w:tcW w:w="2862" w:type="pct"/>
            <w:vAlign w:val="bottom"/>
          </w:tcPr>
          <w:p w14:paraId="309FF940" w14:textId="78D53E01"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Відсотки за банківськими рахунками</w:t>
            </w:r>
          </w:p>
        </w:tc>
        <w:tc>
          <w:tcPr>
            <w:tcW w:w="1069" w:type="pct"/>
            <w:vAlign w:val="bottom"/>
          </w:tcPr>
          <w:p w14:paraId="0429D2C3" w14:textId="4D0E0067" w:rsidR="00F83286" w:rsidRPr="00BC3BF1" w:rsidRDefault="00BC3BF1" w:rsidP="00F83286">
            <w:pPr>
              <w:jc w:val="right"/>
              <w:rPr>
                <w:rFonts w:asciiTheme="minorHAnsi" w:hAnsiTheme="minorHAnsi" w:cstheme="minorHAnsi"/>
                <w:color w:val="000000" w:themeColor="text1"/>
                <w:szCs w:val="20"/>
                <w:lang w:val="ru-RU"/>
              </w:rPr>
            </w:pPr>
            <w:r w:rsidRPr="00BC3BF1">
              <w:rPr>
                <w:color w:val="000000" w:themeColor="text1"/>
                <w:szCs w:val="20"/>
              </w:rPr>
              <w:t>4 368</w:t>
            </w:r>
            <w:r w:rsidR="00F83286" w:rsidRPr="00BC3BF1">
              <w:rPr>
                <w:color w:val="000000" w:themeColor="text1"/>
                <w:szCs w:val="20"/>
              </w:rPr>
              <w:t xml:space="preserve"> </w:t>
            </w:r>
          </w:p>
        </w:tc>
        <w:tc>
          <w:tcPr>
            <w:tcW w:w="1069" w:type="pct"/>
            <w:vAlign w:val="bottom"/>
          </w:tcPr>
          <w:p w14:paraId="53873364" w14:textId="10AD347A"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1 055 </w:t>
            </w:r>
          </w:p>
        </w:tc>
      </w:tr>
      <w:tr w:rsidR="00F83286" w:rsidRPr="00A22CC4" w14:paraId="349DBCBC" w14:textId="77777777" w:rsidTr="00EF41A5">
        <w:trPr>
          <w:trHeight w:val="255"/>
          <w:tblHeader/>
        </w:trPr>
        <w:tc>
          <w:tcPr>
            <w:tcW w:w="2862" w:type="pct"/>
            <w:vAlign w:val="bottom"/>
          </w:tcPr>
          <w:p w14:paraId="74E06E40" w14:textId="45F8129D"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Одержані штрафи, пені неустойки</w:t>
            </w:r>
          </w:p>
        </w:tc>
        <w:tc>
          <w:tcPr>
            <w:tcW w:w="1069" w:type="pct"/>
            <w:vAlign w:val="bottom"/>
          </w:tcPr>
          <w:p w14:paraId="60F292FF" w14:textId="3602BB89" w:rsidR="00F83286" w:rsidRPr="00BC3BF1" w:rsidRDefault="00BC3BF1" w:rsidP="00F83286">
            <w:pPr>
              <w:jc w:val="right"/>
              <w:rPr>
                <w:rFonts w:asciiTheme="minorHAnsi" w:hAnsiTheme="minorHAnsi" w:cstheme="minorHAnsi"/>
                <w:color w:val="000000" w:themeColor="text1"/>
                <w:szCs w:val="20"/>
                <w:lang w:val="ru-RU"/>
              </w:rPr>
            </w:pPr>
            <w:r w:rsidRPr="00BC3BF1">
              <w:rPr>
                <w:color w:val="000000" w:themeColor="text1"/>
                <w:szCs w:val="20"/>
              </w:rPr>
              <w:t>168</w:t>
            </w:r>
            <w:r w:rsidR="00F83286" w:rsidRPr="00BC3BF1">
              <w:rPr>
                <w:color w:val="000000" w:themeColor="text1"/>
                <w:szCs w:val="20"/>
              </w:rPr>
              <w:t xml:space="preserve"> </w:t>
            </w:r>
          </w:p>
        </w:tc>
        <w:tc>
          <w:tcPr>
            <w:tcW w:w="1069" w:type="pct"/>
            <w:vAlign w:val="bottom"/>
          </w:tcPr>
          <w:p w14:paraId="54FE2351" w14:textId="54B6C842"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22 </w:t>
            </w:r>
          </w:p>
        </w:tc>
      </w:tr>
      <w:tr w:rsidR="00F83286" w:rsidRPr="00A22CC4" w14:paraId="23EC1934" w14:textId="77777777" w:rsidTr="008C3115">
        <w:trPr>
          <w:trHeight w:val="255"/>
          <w:tblHeader/>
        </w:trPr>
        <w:tc>
          <w:tcPr>
            <w:tcW w:w="2862" w:type="pct"/>
            <w:vAlign w:val="bottom"/>
          </w:tcPr>
          <w:p w14:paraId="319C5044" w14:textId="6D0AE70E" w:rsidR="00F83286" w:rsidRPr="00686268" w:rsidRDefault="00F83286" w:rsidP="00F83286">
            <w:pPr>
              <w:jc w:val="left"/>
              <w:rPr>
                <w:rFonts w:asciiTheme="minorHAnsi" w:hAnsiTheme="minorHAnsi" w:cstheme="minorHAnsi"/>
                <w:color w:val="000000" w:themeColor="text1"/>
                <w:szCs w:val="20"/>
              </w:rPr>
            </w:pPr>
            <w:r w:rsidRPr="00686268">
              <w:rPr>
                <w:color w:val="000000" w:themeColor="text1"/>
                <w:szCs w:val="20"/>
              </w:rPr>
              <w:t>Інші доходи</w:t>
            </w:r>
          </w:p>
        </w:tc>
        <w:tc>
          <w:tcPr>
            <w:tcW w:w="1069" w:type="pct"/>
            <w:vAlign w:val="bottom"/>
          </w:tcPr>
          <w:p w14:paraId="54C001BD" w14:textId="1E21A550" w:rsidR="00F83286" w:rsidRPr="00BC3BF1" w:rsidRDefault="00BC3BF1" w:rsidP="00897811">
            <w:pPr>
              <w:jc w:val="right"/>
              <w:rPr>
                <w:rFonts w:asciiTheme="minorHAnsi" w:hAnsiTheme="minorHAnsi" w:cstheme="minorHAnsi"/>
                <w:color w:val="000000" w:themeColor="text1"/>
                <w:szCs w:val="20"/>
                <w:lang w:val="ru-RU"/>
              </w:rPr>
            </w:pPr>
            <w:r w:rsidRPr="00BC3BF1">
              <w:rPr>
                <w:color w:val="000000" w:themeColor="text1"/>
                <w:szCs w:val="20"/>
              </w:rPr>
              <w:t xml:space="preserve">1 </w:t>
            </w:r>
            <w:r w:rsidR="00897811">
              <w:rPr>
                <w:color w:val="000000" w:themeColor="text1"/>
                <w:szCs w:val="20"/>
                <w:lang w:val="ru-RU"/>
              </w:rPr>
              <w:t>363</w:t>
            </w:r>
            <w:r w:rsidR="00F83286" w:rsidRPr="00BC3BF1">
              <w:rPr>
                <w:color w:val="000000" w:themeColor="text1"/>
                <w:szCs w:val="20"/>
              </w:rPr>
              <w:t xml:space="preserve"> </w:t>
            </w:r>
          </w:p>
        </w:tc>
        <w:tc>
          <w:tcPr>
            <w:tcW w:w="1069" w:type="pct"/>
            <w:vAlign w:val="bottom"/>
          </w:tcPr>
          <w:p w14:paraId="650FA2F9" w14:textId="0350EA71"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 xml:space="preserve">12 </w:t>
            </w:r>
            <w:r>
              <w:rPr>
                <w:color w:val="000000" w:themeColor="text1"/>
                <w:szCs w:val="20"/>
              </w:rPr>
              <w:t>612</w:t>
            </w:r>
            <w:r w:rsidRPr="00686268">
              <w:rPr>
                <w:color w:val="000000" w:themeColor="text1"/>
                <w:szCs w:val="20"/>
              </w:rPr>
              <w:t xml:space="preserve"> </w:t>
            </w:r>
          </w:p>
        </w:tc>
      </w:tr>
      <w:tr w:rsidR="00686268" w:rsidRPr="00A22CC4" w14:paraId="0E2F0D02" w14:textId="77777777" w:rsidTr="008C3115">
        <w:trPr>
          <w:trHeight w:val="255"/>
        </w:trPr>
        <w:tc>
          <w:tcPr>
            <w:tcW w:w="2862" w:type="pct"/>
            <w:tcBorders>
              <w:top w:val="single" w:sz="4" w:space="0" w:color="auto"/>
            </w:tcBorders>
            <w:vAlign w:val="bottom"/>
          </w:tcPr>
          <w:p w14:paraId="58017342" w14:textId="77777777" w:rsidR="00686268" w:rsidRPr="00686268" w:rsidRDefault="00686268" w:rsidP="00686268">
            <w:pPr>
              <w:pStyle w:val="af7"/>
              <w:spacing w:before="0" w:after="0"/>
              <w:jc w:val="lef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Разом:</w:t>
            </w:r>
          </w:p>
        </w:tc>
        <w:tc>
          <w:tcPr>
            <w:tcW w:w="1069" w:type="pct"/>
            <w:tcBorders>
              <w:top w:val="single" w:sz="4" w:space="0" w:color="auto"/>
            </w:tcBorders>
            <w:vAlign w:val="bottom"/>
          </w:tcPr>
          <w:p w14:paraId="4AAF8AF6" w14:textId="76FE1E66" w:rsidR="00686268" w:rsidRPr="00686268" w:rsidRDefault="00F83286" w:rsidP="00686268">
            <w:pPr>
              <w:jc w:val="right"/>
              <w:rPr>
                <w:b/>
                <w:bCs/>
                <w:color w:val="000000" w:themeColor="text1"/>
                <w:szCs w:val="20"/>
                <w:lang w:val="ru-RU"/>
              </w:rPr>
            </w:pPr>
            <w:r>
              <w:rPr>
                <w:b/>
                <w:bCs/>
                <w:color w:val="000000" w:themeColor="text1"/>
                <w:szCs w:val="20"/>
              </w:rPr>
              <w:t>174 025</w:t>
            </w:r>
            <w:r w:rsidR="00686268" w:rsidRPr="00686268">
              <w:rPr>
                <w:b/>
                <w:bCs/>
                <w:color w:val="000000" w:themeColor="text1"/>
                <w:szCs w:val="20"/>
              </w:rPr>
              <w:t xml:space="preserve"> </w:t>
            </w:r>
          </w:p>
        </w:tc>
        <w:tc>
          <w:tcPr>
            <w:tcW w:w="1069" w:type="pct"/>
            <w:tcBorders>
              <w:top w:val="single" w:sz="4" w:space="0" w:color="auto"/>
            </w:tcBorders>
            <w:vAlign w:val="bottom"/>
          </w:tcPr>
          <w:p w14:paraId="4B72CCFE" w14:textId="147FC944" w:rsidR="00686268" w:rsidRPr="00686268" w:rsidRDefault="00F83286" w:rsidP="00686268">
            <w:pPr>
              <w:jc w:val="right"/>
              <w:rPr>
                <w:b/>
                <w:bCs/>
                <w:color w:val="000000" w:themeColor="text1"/>
                <w:szCs w:val="20"/>
                <w:lang w:val="ru-RU"/>
              </w:rPr>
            </w:pPr>
            <w:r w:rsidRPr="00686268">
              <w:rPr>
                <w:b/>
                <w:bCs/>
                <w:color w:val="000000" w:themeColor="text1"/>
                <w:szCs w:val="20"/>
              </w:rPr>
              <w:t>179 665</w:t>
            </w:r>
          </w:p>
        </w:tc>
      </w:tr>
    </w:tbl>
    <w:p w14:paraId="3E12CC4F" w14:textId="77777777" w:rsidR="00920BA5" w:rsidRPr="00686268" w:rsidRDefault="00462939" w:rsidP="00CA3F1C">
      <w:pPr>
        <w:pStyle w:val="1"/>
        <w:rPr>
          <w:color w:val="000000" w:themeColor="text1"/>
        </w:rPr>
      </w:pPr>
      <w:bookmarkStart w:id="91" w:name="_Toc475007899"/>
      <w:bookmarkStart w:id="92" w:name="_Toc475522346"/>
      <w:bookmarkStart w:id="93" w:name="_Toc68253960"/>
      <w:r w:rsidRPr="00686268">
        <w:rPr>
          <w:color w:val="000000" w:themeColor="text1"/>
        </w:rPr>
        <w:t>Витрати</w:t>
      </w:r>
      <w:bookmarkEnd w:id="91"/>
      <w:bookmarkEnd w:id="92"/>
      <w:bookmarkEnd w:id="93"/>
    </w:p>
    <w:p w14:paraId="7234D095" w14:textId="77777777" w:rsidR="00920BA5" w:rsidRPr="00686268" w:rsidRDefault="00920BA5" w:rsidP="00CA3F1C">
      <w:pPr>
        <w:rPr>
          <w:rFonts w:asciiTheme="minorHAnsi" w:hAnsiTheme="minorHAnsi" w:cstheme="minorHAnsi"/>
          <w:color w:val="000000" w:themeColor="text1"/>
        </w:rPr>
      </w:pPr>
      <w:r w:rsidRPr="00686268">
        <w:rPr>
          <w:rFonts w:asciiTheme="minorHAnsi" w:hAnsiTheme="minorHAnsi" w:cstheme="minorHAnsi"/>
          <w:color w:val="000000" w:themeColor="text1"/>
        </w:rPr>
        <w:t>Структура в</w:t>
      </w:r>
      <w:r w:rsidR="008F3BCD" w:rsidRPr="00686268">
        <w:rPr>
          <w:rFonts w:asciiTheme="minorHAnsi" w:hAnsiTheme="minorHAnsi" w:cstheme="minorHAnsi"/>
          <w:color w:val="000000" w:themeColor="text1"/>
        </w:rPr>
        <w:t xml:space="preserve">итрат від виробничої та </w:t>
      </w:r>
      <w:r w:rsidR="00EA5D7F" w:rsidRPr="00686268">
        <w:rPr>
          <w:rFonts w:asciiTheme="minorHAnsi" w:hAnsiTheme="minorHAnsi" w:cstheme="minorHAnsi"/>
          <w:color w:val="000000" w:themeColor="text1"/>
        </w:rPr>
        <w:t>торгової</w:t>
      </w:r>
      <w:r w:rsidRPr="00686268">
        <w:rPr>
          <w:rFonts w:asciiTheme="minorHAnsi" w:hAnsiTheme="minorHAnsi" w:cstheme="minorHAnsi"/>
          <w:color w:val="000000" w:themeColor="text1"/>
        </w:rPr>
        <w:t xml:space="preserve"> діяльності Компанії:</w:t>
      </w:r>
    </w:p>
    <w:tbl>
      <w:tblPr>
        <w:tblW w:w="4999" w:type="pct"/>
        <w:tblLook w:val="0000" w:firstRow="0" w:lastRow="0" w:firstColumn="0" w:lastColumn="0" w:noHBand="0" w:noVBand="0"/>
      </w:tblPr>
      <w:tblGrid>
        <w:gridCol w:w="5515"/>
        <w:gridCol w:w="2060"/>
        <w:gridCol w:w="2060"/>
      </w:tblGrid>
      <w:tr w:rsidR="00686268" w:rsidRPr="00686268" w14:paraId="423AE5C2" w14:textId="77777777" w:rsidTr="00A148C5">
        <w:trPr>
          <w:trHeight w:val="510"/>
          <w:tblHeader/>
        </w:trPr>
        <w:tc>
          <w:tcPr>
            <w:tcW w:w="2862" w:type="pct"/>
            <w:tcBorders>
              <w:bottom w:val="single" w:sz="4" w:space="0" w:color="auto"/>
            </w:tcBorders>
            <w:vAlign w:val="center"/>
          </w:tcPr>
          <w:p w14:paraId="0C1B5D53" w14:textId="21EDAF9C" w:rsidR="00A148C5" w:rsidRPr="00686268" w:rsidRDefault="00A148C5" w:rsidP="00CA3F1C">
            <w:pPr>
              <w:jc w:val="left"/>
              <w:rPr>
                <w:rFonts w:asciiTheme="minorHAnsi" w:hAnsiTheme="minorHAnsi" w:cstheme="minorHAnsi"/>
                <w:b/>
                <w:bCs/>
                <w:color w:val="000000" w:themeColor="text1"/>
                <w:szCs w:val="20"/>
              </w:rPr>
            </w:pPr>
            <w:r w:rsidRPr="00686268">
              <w:rPr>
                <w:rFonts w:asciiTheme="minorHAnsi" w:hAnsiTheme="minorHAnsi" w:cstheme="minorHAnsi"/>
                <w:b/>
                <w:bCs/>
                <w:color w:val="000000" w:themeColor="text1"/>
                <w:szCs w:val="20"/>
              </w:rPr>
              <w:t>7.1 Собівартість продажу продукції, товарів, робіт та послуг</w:t>
            </w:r>
          </w:p>
        </w:tc>
        <w:tc>
          <w:tcPr>
            <w:tcW w:w="1069" w:type="pct"/>
            <w:tcBorders>
              <w:bottom w:val="single" w:sz="4" w:space="0" w:color="auto"/>
            </w:tcBorders>
            <w:vAlign w:val="center"/>
          </w:tcPr>
          <w:p w14:paraId="6D96456D" w14:textId="77777777" w:rsidR="00A148C5" w:rsidRPr="00686268" w:rsidRDefault="00A148C5" w:rsidP="00CA3F1C">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За рік, що</w:t>
            </w:r>
          </w:p>
          <w:p w14:paraId="38F2521F" w14:textId="77777777" w:rsidR="00A148C5" w:rsidRPr="00686268" w:rsidRDefault="00A148C5" w:rsidP="00CA3F1C">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закінчився</w:t>
            </w:r>
          </w:p>
          <w:p w14:paraId="22172F9A" w14:textId="140ECDB4" w:rsidR="00A148C5" w:rsidRPr="00686268" w:rsidRDefault="00A148C5" w:rsidP="00F83286">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31.12.20</w:t>
            </w:r>
            <w:r w:rsidR="00F83286">
              <w:rPr>
                <w:rFonts w:asciiTheme="minorHAnsi" w:hAnsiTheme="minorHAnsi" w:cstheme="minorHAnsi"/>
                <w:b/>
                <w:color w:val="000000" w:themeColor="text1"/>
                <w:szCs w:val="20"/>
              </w:rPr>
              <w:t>20</w:t>
            </w:r>
          </w:p>
        </w:tc>
        <w:tc>
          <w:tcPr>
            <w:tcW w:w="1069" w:type="pct"/>
            <w:tcBorders>
              <w:bottom w:val="single" w:sz="4" w:space="0" w:color="auto"/>
            </w:tcBorders>
            <w:vAlign w:val="bottom"/>
          </w:tcPr>
          <w:p w14:paraId="0A305789" w14:textId="77777777" w:rsidR="00A148C5" w:rsidRPr="00686268" w:rsidRDefault="00A148C5" w:rsidP="00CA3F1C">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За рік, що</w:t>
            </w:r>
          </w:p>
          <w:p w14:paraId="7B9AD56B" w14:textId="77777777" w:rsidR="00A148C5" w:rsidRPr="00686268" w:rsidRDefault="00A148C5" w:rsidP="00CA3F1C">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закінчився</w:t>
            </w:r>
          </w:p>
          <w:p w14:paraId="0BCC9348" w14:textId="52EAF546" w:rsidR="00633A76" w:rsidRPr="00686268" w:rsidRDefault="00A148C5" w:rsidP="00F83286">
            <w:pPr>
              <w:pStyle w:val="af7"/>
              <w:tabs>
                <w:tab w:val="left" w:pos="2305"/>
              </w:tabs>
              <w:spacing w:before="0" w:after="0"/>
              <w:jc w:val="right"/>
              <w:rPr>
                <w:rFonts w:asciiTheme="minorHAnsi" w:hAnsiTheme="minorHAnsi" w:cstheme="minorHAnsi"/>
                <w:b/>
                <w:color w:val="000000" w:themeColor="text1"/>
                <w:szCs w:val="20"/>
              </w:rPr>
            </w:pPr>
            <w:r w:rsidRPr="00686268">
              <w:rPr>
                <w:rFonts w:asciiTheme="minorHAnsi" w:hAnsiTheme="minorHAnsi" w:cstheme="minorHAnsi"/>
                <w:b/>
                <w:color w:val="000000" w:themeColor="text1"/>
                <w:szCs w:val="20"/>
              </w:rPr>
              <w:t xml:space="preserve"> 31.12.20</w:t>
            </w:r>
            <w:r w:rsidR="00F83286">
              <w:rPr>
                <w:rFonts w:asciiTheme="minorHAnsi" w:hAnsiTheme="minorHAnsi" w:cstheme="minorHAnsi"/>
                <w:b/>
                <w:color w:val="000000" w:themeColor="text1"/>
                <w:szCs w:val="20"/>
              </w:rPr>
              <w:t>19</w:t>
            </w:r>
          </w:p>
        </w:tc>
      </w:tr>
      <w:tr w:rsidR="00F83286" w:rsidRPr="00686268" w14:paraId="5D12C37D" w14:textId="77777777" w:rsidTr="00B04231">
        <w:trPr>
          <w:trHeight w:val="255"/>
        </w:trPr>
        <w:tc>
          <w:tcPr>
            <w:tcW w:w="2862" w:type="pct"/>
            <w:tcBorders>
              <w:top w:val="single" w:sz="4" w:space="0" w:color="auto"/>
            </w:tcBorders>
            <w:vAlign w:val="bottom"/>
          </w:tcPr>
          <w:p w14:paraId="688D0A95" w14:textId="77777777" w:rsidR="00F83286" w:rsidRPr="00686268" w:rsidRDefault="00F83286" w:rsidP="00F83286">
            <w:pPr>
              <w:jc w:val="left"/>
              <w:rPr>
                <w:rFonts w:asciiTheme="minorHAnsi" w:hAnsiTheme="minorHAnsi" w:cstheme="minorHAnsi"/>
                <w:color w:val="000000" w:themeColor="text1"/>
                <w:szCs w:val="20"/>
              </w:rPr>
            </w:pPr>
            <w:r w:rsidRPr="00686268">
              <w:rPr>
                <w:rFonts w:asciiTheme="minorHAnsi" w:hAnsiTheme="minorHAnsi" w:cstheme="minorHAnsi"/>
                <w:color w:val="000000" w:themeColor="text1"/>
                <w:szCs w:val="20"/>
              </w:rPr>
              <w:t>Матеріали</w:t>
            </w:r>
          </w:p>
        </w:tc>
        <w:tc>
          <w:tcPr>
            <w:tcW w:w="1069" w:type="pct"/>
            <w:tcBorders>
              <w:top w:val="single" w:sz="4" w:space="0" w:color="auto"/>
            </w:tcBorders>
            <w:vAlign w:val="bottom"/>
          </w:tcPr>
          <w:p w14:paraId="05DBDE6F" w14:textId="00E96DED" w:rsidR="00F83286" w:rsidRPr="008E3418" w:rsidRDefault="00F83286" w:rsidP="008E3418">
            <w:pPr>
              <w:jc w:val="right"/>
              <w:rPr>
                <w:color w:val="000000" w:themeColor="text1"/>
                <w:szCs w:val="20"/>
                <w:lang w:val="ru-RU"/>
              </w:rPr>
            </w:pPr>
            <w:r w:rsidRPr="008E3418">
              <w:rPr>
                <w:color w:val="000000" w:themeColor="text1"/>
                <w:szCs w:val="20"/>
              </w:rPr>
              <w:t>(</w:t>
            </w:r>
            <w:r w:rsidR="008E3418" w:rsidRPr="008E3418">
              <w:rPr>
                <w:color w:val="000000" w:themeColor="text1"/>
                <w:szCs w:val="20"/>
              </w:rPr>
              <w:t>371 044</w:t>
            </w:r>
            <w:r w:rsidRPr="008E3418">
              <w:rPr>
                <w:color w:val="000000" w:themeColor="text1"/>
                <w:szCs w:val="20"/>
              </w:rPr>
              <w:t>)</w:t>
            </w:r>
          </w:p>
        </w:tc>
        <w:tc>
          <w:tcPr>
            <w:tcW w:w="1069" w:type="pct"/>
            <w:tcBorders>
              <w:top w:val="single" w:sz="4" w:space="0" w:color="auto"/>
            </w:tcBorders>
            <w:vAlign w:val="bottom"/>
          </w:tcPr>
          <w:p w14:paraId="5EF0F5CE" w14:textId="5D44F71F" w:rsidR="00F83286" w:rsidRPr="00686268" w:rsidRDefault="00F83286" w:rsidP="00F83286">
            <w:pPr>
              <w:jc w:val="right"/>
              <w:rPr>
                <w:color w:val="000000" w:themeColor="text1"/>
                <w:szCs w:val="20"/>
                <w:lang w:val="ru-RU"/>
              </w:rPr>
            </w:pPr>
            <w:r w:rsidRPr="00686268">
              <w:rPr>
                <w:color w:val="000000" w:themeColor="text1"/>
                <w:szCs w:val="20"/>
              </w:rPr>
              <w:t>(530 952)</w:t>
            </w:r>
          </w:p>
        </w:tc>
      </w:tr>
      <w:tr w:rsidR="00F83286" w:rsidRPr="00686268" w14:paraId="4DC0B546" w14:textId="77777777" w:rsidTr="00B04231">
        <w:trPr>
          <w:trHeight w:val="255"/>
        </w:trPr>
        <w:tc>
          <w:tcPr>
            <w:tcW w:w="2862" w:type="pct"/>
            <w:vAlign w:val="bottom"/>
          </w:tcPr>
          <w:p w14:paraId="33E28294" w14:textId="6B3A73DD" w:rsidR="00F83286" w:rsidRPr="00686268" w:rsidRDefault="00F83286" w:rsidP="00F83286">
            <w:pPr>
              <w:jc w:val="left"/>
              <w:rPr>
                <w:rFonts w:asciiTheme="minorHAnsi" w:hAnsiTheme="minorHAnsi" w:cstheme="minorHAnsi"/>
                <w:color w:val="000000" w:themeColor="text1"/>
                <w:szCs w:val="20"/>
              </w:rPr>
            </w:pPr>
            <w:r w:rsidRPr="00686268">
              <w:rPr>
                <w:rFonts w:asciiTheme="minorHAnsi" w:hAnsiTheme="minorHAnsi" w:cstheme="minorHAnsi"/>
                <w:color w:val="000000" w:themeColor="text1"/>
                <w:szCs w:val="20"/>
              </w:rPr>
              <w:t xml:space="preserve">Заробітна плата </w:t>
            </w:r>
          </w:p>
        </w:tc>
        <w:tc>
          <w:tcPr>
            <w:tcW w:w="1069" w:type="pct"/>
            <w:vAlign w:val="bottom"/>
          </w:tcPr>
          <w:p w14:paraId="13B83E63" w14:textId="03630025" w:rsidR="00F83286" w:rsidRPr="008E3418" w:rsidRDefault="00F83286" w:rsidP="008E3418">
            <w:pPr>
              <w:jc w:val="right"/>
              <w:rPr>
                <w:rFonts w:asciiTheme="minorHAnsi" w:hAnsiTheme="minorHAnsi" w:cstheme="minorHAnsi"/>
                <w:color w:val="000000" w:themeColor="text1"/>
                <w:szCs w:val="20"/>
              </w:rPr>
            </w:pPr>
            <w:r w:rsidRPr="008E3418">
              <w:rPr>
                <w:color w:val="000000" w:themeColor="text1"/>
                <w:szCs w:val="20"/>
              </w:rPr>
              <w:t>(</w:t>
            </w:r>
            <w:r w:rsidR="008E3418" w:rsidRPr="008E3418">
              <w:rPr>
                <w:color w:val="000000" w:themeColor="text1"/>
                <w:szCs w:val="20"/>
              </w:rPr>
              <w:t>112 482</w:t>
            </w:r>
            <w:r w:rsidRPr="008E3418">
              <w:rPr>
                <w:color w:val="000000" w:themeColor="text1"/>
                <w:szCs w:val="20"/>
              </w:rPr>
              <w:t>)</w:t>
            </w:r>
          </w:p>
        </w:tc>
        <w:tc>
          <w:tcPr>
            <w:tcW w:w="1069" w:type="pct"/>
            <w:vAlign w:val="bottom"/>
          </w:tcPr>
          <w:p w14:paraId="1E3E0E8B" w14:textId="7AAC67BF"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(137 839)</w:t>
            </w:r>
          </w:p>
        </w:tc>
      </w:tr>
      <w:tr w:rsidR="00F83286" w:rsidRPr="00686268" w14:paraId="3B2A19BE" w14:textId="77777777" w:rsidTr="00B04231">
        <w:trPr>
          <w:trHeight w:val="255"/>
        </w:trPr>
        <w:tc>
          <w:tcPr>
            <w:tcW w:w="2862" w:type="pct"/>
            <w:vAlign w:val="bottom"/>
          </w:tcPr>
          <w:p w14:paraId="74F722E8" w14:textId="7AD14BA9" w:rsidR="00F83286" w:rsidRPr="00686268" w:rsidRDefault="00F83286" w:rsidP="00F83286">
            <w:pPr>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Послуги</w:t>
            </w:r>
          </w:p>
        </w:tc>
        <w:tc>
          <w:tcPr>
            <w:tcW w:w="1069" w:type="pct"/>
            <w:vAlign w:val="bottom"/>
          </w:tcPr>
          <w:p w14:paraId="48030E60" w14:textId="77F8CCA3" w:rsidR="00F83286" w:rsidRPr="008E3418" w:rsidRDefault="00F83286" w:rsidP="008E3418">
            <w:pPr>
              <w:jc w:val="right"/>
              <w:rPr>
                <w:rFonts w:asciiTheme="minorHAnsi" w:hAnsiTheme="minorHAnsi" w:cstheme="minorHAnsi"/>
                <w:color w:val="000000" w:themeColor="text1"/>
                <w:szCs w:val="20"/>
              </w:rPr>
            </w:pPr>
            <w:r w:rsidRPr="008E3418">
              <w:rPr>
                <w:color w:val="000000" w:themeColor="text1"/>
                <w:szCs w:val="20"/>
              </w:rPr>
              <w:t>(</w:t>
            </w:r>
            <w:r w:rsidR="008E3418" w:rsidRPr="008E3418">
              <w:rPr>
                <w:color w:val="000000" w:themeColor="text1"/>
                <w:szCs w:val="20"/>
              </w:rPr>
              <w:t>4 920</w:t>
            </w:r>
            <w:r w:rsidRPr="008E3418">
              <w:rPr>
                <w:color w:val="000000" w:themeColor="text1"/>
                <w:szCs w:val="20"/>
              </w:rPr>
              <w:t>)</w:t>
            </w:r>
          </w:p>
        </w:tc>
        <w:tc>
          <w:tcPr>
            <w:tcW w:w="1069" w:type="pct"/>
            <w:vAlign w:val="bottom"/>
          </w:tcPr>
          <w:p w14:paraId="384B4886" w14:textId="1AD68280"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(7 779)</w:t>
            </w:r>
          </w:p>
        </w:tc>
      </w:tr>
      <w:tr w:rsidR="00F83286" w:rsidRPr="00686268" w14:paraId="04E46127" w14:textId="77777777" w:rsidTr="00B04231">
        <w:trPr>
          <w:trHeight w:val="255"/>
        </w:trPr>
        <w:tc>
          <w:tcPr>
            <w:tcW w:w="2862" w:type="pct"/>
            <w:vAlign w:val="bottom"/>
          </w:tcPr>
          <w:p w14:paraId="592A586D" w14:textId="17571B05" w:rsidR="00F83286" w:rsidRPr="00686268" w:rsidRDefault="00F83286" w:rsidP="00F83286">
            <w:pPr>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Соціальне страхування</w:t>
            </w:r>
          </w:p>
        </w:tc>
        <w:tc>
          <w:tcPr>
            <w:tcW w:w="1069" w:type="pct"/>
            <w:vAlign w:val="bottom"/>
          </w:tcPr>
          <w:p w14:paraId="488F3599" w14:textId="3551AAEC" w:rsidR="00F83286" w:rsidRPr="008E3418" w:rsidRDefault="00F83286" w:rsidP="008E3418">
            <w:pPr>
              <w:jc w:val="right"/>
              <w:rPr>
                <w:rFonts w:asciiTheme="minorHAnsi" w:hAnsiTheme="minorHAnsi" w:cstheme="minorHAnsi"/>
                <w:color w:val="000000" w:themeColor="text1"/>
                <w:szCs w:val="20"/>
              </w:rPr>
            </w:pPr>
            <w:r w:rsidRPr="008E3418">
              <w:rPr>
                <w:color w:val="000000" w:themeColor="text1"/>
                <w:szCs w:val="20"/>
              </w:rPr>
              <w:t>(2</w:t>
            </w:r>
            <w:r w:rsidR="008E3418" w:rsidRPr="008E3418">
              <w:rPr>
                <w:color w:val="000000" w:themeColor="text1"/>
                <w:szCs w:val="20"/>
              </w:rPr>
              <w:t>2</w:t>
            </w:r>
            <w:r w:rsidRPr="008E3418">
              <w:rPr>
                <w:color w:val="000000" w:themeColor="text1"/>
                <w:szCs w:val="20"/>
              </w:rPr>
              <w:t xml:space="preserve"> </w:t>
            </w:r>
            <w:r w:rsidR="008E3418" w:rsidRPr="008E3418">
              <w:rPr>
                <w:color w:val="000000" w:themeColor="text1"/>
                <w:szCs w:val="20"/>
              </w:rPr>
              <w:t>174</w:t>
            </w:r>
            <w:r w:rsidRPr="008E3418">
              <w:rPr>
                <w:color w:val="000000" w:themeColor="text1"/>
                <w:szCs w:val="20"/>
              </w:rPr>
              <w:t>)</w:t>
            </w:r>
          </w:p>
        </w:tc>
        <w:tc>
          <w:tcPr>
            <w:tcW w:w="1069" w:type="pct"/>
            <w:vAlign w:val="bottom"/>
          </w:tcPr>
          <w:p w14:paraId="39080CEB" w14:textId="2053AED4"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(26 762)</w:t>
            </w:r>
          </w:p>
        </w:tc>
      </w:tr>
      <w:tr w:rsidR="00F83286" w:rsidRPr="00686268" w14:paraId="2D5ABF61" w14:textId="77777777" w:rsidTr="00B04231">
        <w:trPr>
          <w:trHeight w:val="255"/>
        </w:trPr>
        <w:tc>
          <w:tcPr>
            <w:tcW w:w="2862" w:type="pct"/>
            <w:vAlign w:val="bottom"/>
          </w:tcPr>
          <w:p w14:paraId="486FB71C" w14:textId="5DDDA1F6" w:rsidR="00F83286" w:rsidRPr="00686268" w:rsidRDefault="00F83286" w:rsidP="00F83286">
            <w:pPr>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Амортизація</w:t>
            </w:r>
          </w:p>
        </w:tc>
        <w:tc>
          <w:tcPr>
            <w:tcW w:w="1069" w:type="pct"/>
            <w:vAlign w:val="bottom"/>
          </w:tcPr>
          <w:p w14:paraId="00D091E1" w14:textId="091120E1" w:rsidR="00F83286" w:rsidRPr="008E3418" w:rsidRDefault="00F83286" w:rsidP="008E3418">
            <w:pPr>
              <w:jc w:val="right"/>
              <w:rPr>
                <w:rFonts w:asciiTheme="minorHAnsi" w:hAnsiTheme="minorHAnsi" w:cstheme="minorHAnsi"/>
                <w:color w:val="000000" w:themeColor="text1"/>
                <w:szCs w:val="20"/>
              </w:rPr>
            </w:pPr>
            <w:r w:rsidRPr="008E3418">
              <w:rPr>
                <w:color w:val="000000" w:themeColor="text1"/>
                <w:szCs w:val="20"/>
              </w:rPr>
              <w:t>(2</w:t>
            </w:r>
            <w:r w:rsidR="008E3418" w:rsidRPr="008E3418">
              <w:rPr>
                <w:color w:val="000000" w:themeColor="text1"/>
                <w:szCs w:val="20"/>
              </w:rPr>
              <w:t>3</w:t>
            </w:r>
            <w:r w:rsidRPr="008E3418">
              <w:rPr>
                <w:color w:val="000000" w:themeColor="text1"/>
                <w:szCs w:val="20"/>
              </w:rPr>
              <w:t xml:space="preserve"> </w:t>
            </w:r>
            <w:r w:rsidR="008E3418" w:rsidRPr="008E3418">
              <w:rPr>
                <w:color w:val="000000" w:themeColor="text1"/>
                <w:szCs w:val="20"/>
              </w:rPr>
              <w:t>577</w:t>
            </w:r>
            <w:r w:rsidRPr="008E3418">
              <w:rPr>
                <w:color w:val="000000" w:themeColor="text1"/>
                <w:szCs w:val="20"/>
              </w:rPr>
              <w:t>)</w:t>
            </w:r>
          </w:p>
        </w:tc>
        <w:tc>
          <w:tcPr>
            <w:tcW w:w="1069" w:type="pct"/>
            <w:vAlign w:val="bottom"/>
          </w:tcPr>
          <w:p w14:paraId="5C791D02" w14:textId="13CD1512"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(20 054)</w:t>
            </w:r>
          </w:p>
        </w:tc>
      </w:tr>
      <w:tr w:rsidR="00F83286" w:rsidRPr="00686268" w14:paraId="65CE6CF5" w14:textId="77777777" w:rsidTr="00B04231">
        <w:trPr>
          <w:trHeight w:val="255"/>
        </w:trPr>
        <w:tc>
          <w:tcPr>
            <w:tcW w:w="2862" w:type="pct"/>
            <w:noWrap/>
            <w:vAlign w:val="bottom"/>
          </w:tcPr>
          <w:p w14:paraId="0D6CAF87" w14:textId="31C22594" w:rsidR="00F83286" w:rsidRPr="00686268" w:rsidRDefault="00F83286" w:rsidP="00F83286">
            <w:pPr>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Оренда</w:t>
            </w:r>
          </w:p>
        </w:tc>
        <w:tc>
          <w:tcPr>
            <w:tcW w:w="1069" w:type="pct"/>
            <w:vAlign w:val="bottom"/>
          </w:tcPr>
          <w:p w14:paraId="1D9685DE" w14:textId="66F7CEF7" w:rsidR="00F83286" w:rsidRPr="008E3418" w:rsidRDefault="00F83286" w:rsidP="008E3418">
            <w:pPr>
              <w:jc w:val="right"/>
              <w:rPr>
                <w:rFonts w:asciiTheme="minorHAnsi" w:hAnsiTheme="minorHAnsi" w:cstheme="minorHAnsi"/>
                <w:color w:val="000000" w:themeColor="text1"/>
                <w:szCs w:val="20"/>
              </w:rPr>
            </w:pPr>
            <w:r w:rsidRPr="008E3418">
              <w:rPr>
                <w:color w:val="000000" w:themeColor="text1"/>
                <w:szCs w:val="20"/>
              </w:rPr>
              <w:t>(</w:t>
            </w:r>
            <w:r w:rsidR="008E3418" w:rsidRPr="008E3418">
              <w:rPr>
                <w:color w:val="000000" w:themeColor="text1"/>
                <w:szCs w:val="20"/>
              </w:rPr>
              <w:t>76</w:t>
            </w:r>
            <w:r w:rsidRPr="008E3418">
              <w:rPr>
                <w:color w:val="000000" w:themeColor="text1"/>
                <w:szCs w:val="20"/>
              </w:rPr>
              <w:t>)</w:t>
            </w:r>
          </w:p>
        </w:tc>
        <w:tc>
          <w:tcPr>
            <w:tcW w:w="1069" w:type="pct"/>
            <w:vAlign w:val="bottom"/>
          </w:tcPr>
          <w:p w14:paraId="329A557D" w14:textId="5B15F62E" w:rsidR="00F83286" w:rsidRPr="00686268" w:rsidRDefault="00F83286" w:rsidP="00F83286">
            <w:pPr>
              <w:jc w:val="right"/>
              <w:rPr>
                <w:rFonts w:asciiTheme="minorHAnsi" w:hAnsiTheme="minorHAnsi" w:cstheme="minorHAnsi"/>
                <w:color w:val="000000" w:themeColor="text1"/>
                <w:szCs w:val="20"/>
              </w:rPr>
            </w:pPr>
            <w:r w:rsidRPr="00686268">
              <w:rPr>
                <w:color w:val="000000" w:themeColor="text1"/>
                <w:szCs w:val="20"/>
              </w:rPr>
              <w:t>(365)</w:t>
            </w:r>
          </w:p>
        </w:tc>
      </w:tr>
      <w:tr w:rsidR="00F83286" w:rsidRPr="00686268" w14:paraId="018E4732" w14:textId="77777777" w:rsidTr="00B04231">
        <w:trPr>
          <w:trHeight w:val="255"/>
        </w:trPr>
        <w:tc>
          <w:tcPr>
            <w:tcW w:w="2862" w:type="pct"/>
            <w:tcBorders>
              <w:top w:val="single" w:sz="4" w:space="0" w:color="auto"/>
            </w:tcBorders>
            <w:noWrap/>
            <w:vAlign w:val="bottom"/>
          </w:tcPr>
          <w:p w14:paraId="3B36D6F5" w14:textId="77777777" w:rsidR="00F83286" w:rsidRPr="00686268" w:rsidRDefault="00F83286" w:rsidP="00F83286">
            <w:pPr>
              <w:jc w:val="left"/>
              <w:rPr>
                <w:rFonts w:asciiTheme="minorHAnsi" w:hAnsiTheme="minorHAnsi" w:cstheme="minorHAnsi"/>
                <w:b/>
                <w:bCs/>
                <w:color w:val="000000" w:themeColor="text1"/>
                <w:szCs w:val="20"/>
              </w:rPr>
            </w:pPr>
            <w:r w:rsidRPr="00686268">
              <w:rPr>
                <w:rFonts w:asciiTheme="minorHAnsi" w:hAnsiTheme="minorHAnsi" w:cstheme="minorHAnsi"/>
                <w:b/>
                <w:bCs/>
                <w:color w:val="000000" w:themeColor="text1"/>
                <w:szCs w:val="20"/>
              </w:rPr>
              <w:t>Разом:</w:t>
            </w:r>
          </w:p>
        </w:tc>
        <w:tc>
          <w:tcPr>
            <w:tcW w:w="1069" w:type="pct"/>
            <w:tcBorders>
              <w:top w:val="single" w:sz="4" w:space="0" w:color="auto"/>
            </w:tcBorders>
            <w:vAlign w:val="bottom"/>
          </w:tcPr>
          <w:p w14:paraId="41E15AAF" w14:textId="4DF26FAF" w:rsidR="00F83286" w:rsidRPr="00686268" w:rsidRDefault="00F83286" w:rsidP="004704C7">
            <w:pPr>
              <w:jc w:val="right"/>
              <w:rPr>
                <w:rFonts w:asciiTheme="minorHAnsi" w:hAnsiTheme="minorHAnsi" w:cstheme="minorHAnsi"/>
                <w:b/>
                <w:bCs/>
                <w:color w:val="000000" w:themeColor="text1"/>
                <w:szCs w:val="20"/>
              </w:rPr>
            </w:pPr>
            <w:r w:rsidRPr="00686268">
              <w:rPr>
                <w:b/>
                <w:bCs/>
                <w:color w:val="000000" w:themeColor="text1"/>
                <w:szCs w:val="20"/>
              </w:rPr>
              <w:t>(</w:t>
            </w:r>
            <w:r w:rsidR="004704C7">
              <w:rPr>
                <w:b/>
                <w:bCs/>
                <w:color w:val="000000" w:themeColor="text1"/>
                <w:szCs w:val="20"/>
              </w:rPr>
              <w:t>534 273</w:t>
            </w:r>
            <w:r w:rsidRPr="00686268">
              <w:rPr>
                <w:b/>
                <w:bCs/>
                <w:color w:val="000000" w:themeColor="text1"/>
                <w:szCs w:val="20"/>
              </w:rPr>
              <w:t>)</w:t>
            </w:r>
          </w:p>
        </w:tc>
        <w:tc>
          <w:tcPr>
            <w:tcW w:w="1069" w:type="pct"/>
            <w:tcBorders>
              <w:top w:val="single" w:sz="4" w:space="0" w:color="auto"/>
            </w:tcBorders>
            <w:vAlign w:val="bottom"/>
          </w:tcPr>
          <w:p w14:paraId="7D60B1B4" w14:textId="26FBE0C3" w:rsidR="00F83286" w:rsidRPr="00686268" w:rsidRDefault="00F83286" w:rsidP="00F83286">
            <w:pPr>
              <w:jc w:val="right"/>
              <w:rPr>
                <w:rFonts w:asciiTheme="minorHAnsi" w:hAnsiTheme="minorHAnsi" w:cstheme="minorHAnsi"/>
                <w:b/>
                <w:bCs/>
                <w:color w:val="000000" w:themeColor="text1"/>
                <w:szCs w:val="20"/>
              </w:rPr>
            </w:pPr>
            <w:r w:rsidRPr="00686268">
              <w:rPr>
                <w:b/>
                <w:bCs/>
                <w:color w:val="000000" w:themeColor="text1"/>
                <w:szCs w:val="20"/>
              </w:rPr>
              <w:t>(723 751)</w:t>
            </w:r>
          </w:p>
        </w:tc>
      </w:tr>
    </w:tbl>
    <w:p w14:paraId="2E466137" w14:textId="33631195" w:rsidR="00AF57D3" w:rsidRPr="00686268" w:rsidRDefault="00AF57D3" w:rsidP="00CA3F1C">
      <w:pPr>
        <w:rPr>
          <w:rFonts w:asciiTheme="minorHAnsi" w:hAnsiTheme="minorHAnsi" w:cstheme="minorHAnsi"/>
          <w:color w:val="000000" w:themeColor="text1"/>
        </w:rPr>
      </w:pPr>
    </w:p>
    <w:tbl>
      <w:tblPr>
        <w:tblW w:w="4999" w:type="pct"/>
        <w:tblLook w:val="0000" w:firstRow="0" w:lastRow="0" w:firstColumn="0" w:lastColumn="0" w:noHBand="0" w:noVBand="0"/>
      </w:tblPr>
      <w:tblGrid>
        <w:gridCol w:w="5515"/>
        <w:gridCol w:w="2060"/>
        <w:gridCol w:w="2060"/>
      </w:tblGrid>
      <w:tr w:rsidR="00686268" w:rsidRPr="00686268" w14:paraId="591574F0" w14:textId="77777777" w:rsidTr="00F37FF6">
        <w:trPr>
          <w:trHeight w:val="510"/>
          <w:tblHeader/>
        </w:trPr>
        <w:tc>
          <w:tcPr>
            <w:tcW w:w="2862" w:type="pct"/>
            <w:tcBorders>
              <w:bottom w:val="single" w:sz="4" w:space="0" w:color="auto"/>
            </w:tcBorders>
            <w:noWrap/>
            <w:vAlign w:val="center"/>
          </w:tcPr>
          <w:p w14:paraId="5D0C538B" w14:textId="7D01026D" w:rsidR="00F37FF6" w:rsidRPr="00740BDC" w:rsidRDefault="00F37FF6" w:rsidP="00CA3F1C">
            <w:pPr>
              <w:jc w:val="left"/>
              <w:rPr>
                <w:rFonts w:asciiTheme="minorHAnsi" w:hAnsiTheme="minorHAnsi" w:cstheme="minorHAnsi"/>
                <w:b/>
                <w:bCs/>
                <w:color w:val="000000" w:themeColor="text1"/>
                <w:szCs w:val="20"/>
              </w:rPr>
            </w:pPr>
            <w:r w:rsidRPr="00740BDC">
              <w:rPr>
                <w:rFonts w:asciiTheme="minorHAnsi" w:hAnsiTheme="minorHAnsi" w:cstheme="minorHAnsi"/>
                <w:b/>
                <w:bCs/>
                <w:color w:val="000000" w:themeColor="text1"/>
                <w:szCs w:val="20"/>
              </w:rPr>
              <w:lastRenderedPageBreak/>
              <w:t>7.2 Адміністративні витрати</w:t>
            </w:r>
          </w:p>
        </w:tc>
        <w:tc>
          <w:tcPr>
            <w:tcW w:w="1069" w:type="pct"/>
            <w:tcBorders>
              <w:bottom w:val="single" w:sz="4" w:space="0" w:color="auto"/>
            </w:tcBorders>
            <w:vAlign w:val="center"/>
          </w:tcPr>
          <w:p w14:paraId="44C3EE2F" w14:textId="77777777" w:rsidR="00F37FF6" w:rsidRPr="00740BDC"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740BDC">
              <w:rPr>
                <w:rFonts w:asciiTheme="minorHAnsi" w:hAnsiTheme="minorHAnsi" w:cstheme="minorHAnsi"/>
                <w:b/>
                <w:color w:val="000000" w:themeColor="text1"/>
                <w:szCs w:val="20"/>
              </w:rPr>
              <w:t>За рік, що</w:t>
            </w:r>
          </w:p>
          <w:p w14:paraId="2B9555F8" w14:textId="77777777" w:rsidR="00F37FF6" w:rsidRPr="00740BDC"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740BDC">
              <w:rPr>
                <w:rFonts w:asciiTheme="minorHAnsi" w:hAnsiTheme="minorHAnsi" w:cstheme="minorHAnsi"/>
                <w:b/>
                <w:color w:val="000000" w:themeColor="text1"/>
                <w:szCs w:val="20"/>
              </w:rPr>
              <w:t xml:space="preserve"> закінчився</w:t>
            </w:r>
          </w:p>
          <w:p w14:paraId="52B3A041" w14:textId="5F3C5280" w:rsidR="00F37FF6" w:rsidRPr="00740BDC" w:rsidRDefault="00F37FF6" w:rsidP="006F2884">
            <w:pPr>
              <w:pStyle w:val="af7"/>
              <w:tabs>
                <w:tab w:val="left" w:pos="2305"/>
              </w:tabs>
              <w:spacing w:before="0" w:after="0"/>
              <w:jc w:val="right"/>
              <w:rPr>
                <w:rFonts w:asciiTheme="minorHAnsi" w:hAnsiTheme="minorHAnsi" w:cstheme="minorHAnsi"/>
                <w:b/>
                <w:color w:val="000000" w:themeColor="text1"/>
                <w:szCs w:val="20"/>
                <w:lang w:val="en-US"/>
              </w:rPr>
            </w:pPr>
            <w:r w:rsidRPr="00740BDC">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20</w:t>
            </w:r>
          </w:p>
        </w:tc>
        <w:tc>
          <w:tcPr>
            <w:tcW w:w="1069" w:type="pct"/>
            <w:tcBorders>
              <w:bottom w:val="single" w:sz="4" w:space="0" w:color="auto"/>
            </w:tcBorders>
            <w:vAlign w:val="center"/>
          </w:tcPr>
          <w:p w14:paraId="6C5024C9" w14:textId="77777777" w:rsidR="00F37FF6" w:rsidRPr="00740BDC"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740BDC">
              <w:rPr>
                <w:rFonts w:asciiTheme="minorHAnsi" w:hAnsiTheme="minorHAnsi" w:cstheme="minorHAnsi"/>
                <w:b/>
                <w:color w:val="000000" w:themeColor="text1"/>
                <w:szCs w:val="20"/>
              </w:rPr>
              <w:t>За рік, що</w:t>
            </w:r>
          </w:p>
          <w:p w14:paraId="59A02762" w14:textId="77777777" w:rsidR="00F37FF6" w:rsidRPr="00740BDC"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740BDC">
              <w:rPr>
                <w:rFonts w:asciiTheme="minorHAnsi" w:hAnsiTheme="minorHAnsi" w:cstheme="minorHAnsi"/>
                <w:b/>
                <w:color w:val="000000" w:themeColor="text1"/>
                <w:szCs w:val="20"/>
              </w:rPr>
              <w:t xml:space="preserve"> закінчився</w:t>
            </w:r>
          </w:p>
          <w:p w14:paraId="03AB2E22" w14:textId="64D68B58" w:rsidR="00F37FF6" w:rsidRPr="00740BDC" w:rsidRDefault="00F37FF6" w:rsidP="006F2884">
            <w:pPr>
              <w:pStyle w:val="af7"/>
              <w:tabs>
                <w:tab w:val="left" w:pos="2305"/>
              </w:tabs>
              <w:spacing w:before="0" w:after="0"/>
              <w:jc w:val="right"/>
              <w:rPr>
                <w:rFonts w:asciiTheme="minorHAnsi" w:hAnsiTheme="minorHAnsi" w:cstheme="minorHAnsi"/>
                <w:b/>
                <w:color w:val="000000" w:themeColor="text1"/>
                <w:szCs w:val="20"/>
              </w:rPr>
            </w:pPr>
            <w:r w:rsidRPr="00740BDC">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19</w:t>
            </w:r>
          </w:p>
        </w:tc>
      </w:tr>
      <w:tr w:rsidR="006F2884" w:rsidRPr="00A22CC4" w14:paraId="128EE550" w14:textId="77777777" w:rsidTr="00F37FF6">
        <w:trPr>
          <w:trHeight w:val="255"/>
        </w:trPr>
        <w:tc>
          <w:tcPr>
            <w:tcW w:w="2862" w:type="pct"/>
            <w:tcBorders>
              <w:top w:val="single" w:sz="4" w:space="0" w:color="auto"/>
            </w:tcBorders>
            <w:noWrap/>
            <w:vAlign w:val="bottom"/>
          </w:tcPr>
          <w:p w14:paraId="273409EF"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Заробітна плата</w:t>
            </w:r>
          </w:p>
        </w:tc>
        <w:tc>
          <w:tcPr>
            <w:tcW w:w="1069" w:type="pct"/>
            <w:tcBorders>
              <w:top w:val="single" w:sz="4" w:space="0" w:color="auto"/>
            </w:tcBorders>
            <w:vAlign w:val="bottom"/>
          </w:tcPr>
          <w:p w14:paraId="126DDB23" w14:textId="376801D0"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w:t>
            </w:r>
            <w:r w:rsidR="00406F21" w:rsidRPr="00406F21">
              <w:rPr>
                <w:color w:val="000000" w:themeColor="text1"/>
                <w:szCs w:val="20"/>
              </w:rPr>
              <w:t>70 322</w:t>
            </w:r>
            <w:r w:rsidRPr="00406F21">
              <w:rPr>
                <w:color w:val="000000" w:themeColor="text1"/>
                <w:szCs w:val="20"/>
              </w:rPr>
              <w:t>)</w:t>
            </w:r>
          </w:p>
        </w:tc>
        <w:tc>
          <w:tcPr>
            <w:tcW w:w="1069" w:type="pct"/>
            <w:tcBorders>
              <w:top w:val="single" w:sz="4" w:space="0" w:color="auto"/>
            </w:tcBorders>
            <w:vAlign w:val="bottom"/>
          </w:tcPr>
          <w:p w14:paraId="1B7C81DE" w14:textId="2BD6A1A8"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(69 952)</w:t>
            </w:r>
          </w:p>
        </w:tc>
      </w:tr>
      <w:tr w:rsidR="006F2884" w:rsidRPr="00A22CC4" w14:paraId="0A65E588" w14:textId="77777777" w:rsidTr="00F37FF6">
        <w:trPr>
          <w:trHeight w:val="255"/>
        </w:trPr>
        <w:tc>
          <w:tcPr>
            <w:tcW w:w="2862" w:type="pct"/>
            <w:noWrap/>
            <w:vAlign w:val="bottom"/>
          </w:tcPr>
          <w:p w14:paraId="0EFFE25E"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Послуги</w:t>
            </w:r>
          </w:p>
        </w:tc>
        <w:tc>
          <w:tcPr>
            <w:tcW w:w="1069" w:type="pct"/>
            <w:vAlign w:val="bottom"/>
          </w:tcPr>
          <w:p w14:paraId="099BDB63" w14:textId="0AF60451"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(2</w:t>
            </w:r>
            <w:r w:rsidR="00406F21" w:rsidRPr="00406F21">
              <w:rPr>
                <w:color w:val="000000" w:themeColor="text1"/>
                <w:szCs w:val="20"/>
              </w:rPr>
              <w:t>7</w:t>
            </w:r>
            <w:r w:rsidRPr="00406F21">
              <w:rPr>
                <w:color w:val="000000" w:themeColor="text1"/>
                <w:szCs w:val="20"/>
              </w:rPr>
              <w:t xml:space="preserve"> </w:t>
            </w:r>
            <w:r w:rsidR="00406F21" w:rsidRPr="00406F21">
              <w:rPr>
                <w:color w:val="000000" w:themeColor="text1"/>
                <w:szCs w:val="20"/>
              </w:rPr>
              <w:t>229</w:t>
            </w:r>
            <w:r w:rsidRPr="00406F21">
              <w:rPr>
                <w:color w:val="000000" w:themeColor="text1"/>
                <w:szCs w:val="20"/>
              </w:rPr>
              <w:t>)</w:t>
            </w:r>
          </w:p>
        </w:tc>
        <w:tc>
          <w:tcPr>
            <w:tcW w:w="1069" w:type="pct"/>
            <w:vAlign w:val="bottom"/>
          </w:tcPr>
          <w:p w14:paraId="3B3C1106" w14:textId="18921E3C"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(26 951)</w:t>
            </w:r>
          </w:p>
        </w:tc>
      </w:tr>
      <w:tr w:rsidR="006F2884" w:rsidRPr="00A22CC4" w14:paraId="2433C8E3" w14:textId="77777777" w:rsidTr="00F37FF6">
        <w:trPr>
          <w:trHeight w:val="255"/>
        </w:trPr>
        <w:tc>
          <w:tcPr>
            <w:tcW w:w="2862" w:type="pct"/>
            <w:noWrap/>
            <w:vAlign w:val="bottom"/>
          </w:tcPr>
          <w:p w14:paraId="0223376D"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Податки</w:t>
            </w:r>
          </w:p>
        </w:tc>
        <w:tc>
          <w:tcPr>
            <w:tcW w:w="1069" w:type="pct"/>
            <w:vAlign w:val="bottom"/>
          </w:tcPr>
          <w:p w14:paraId="1C11F9BC" w14:textId="1A81E52F"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 xml:space="preserve">(3 </w:t>
            </w:r>
            <w:r w:rsidR="00406F21" w:rsidRPr="00406F21">
              <w:rPr>
                <w:color w:val="000000" w:themeColor="text1"/>
                <w:szCs w:val="20"/>
              </w:rPr>
              <w:t>155</w:t>
            </w:r>
            <w:r w:rsidRPr="00406F21">
              <w:rPr>
                <w:color w:val="000000" w:themeColor="text1"/>
                <w:szCs w:val="20"/>
              </w:rPr>
              <w:t>)</w:t>
            </w:r>
          </w:p>
        </w:tc>
        <w:tc>
          <w:tcPr>
            <w:tcW w:w="1069" w:type="pct"/>
            <w:vAlign w:val="bottom"/>
          </w:tcPr>
          <w:p w14:paraId="78A6706C" w14:textId="3903F43F"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(3 766)</w:t>
            </w:r>
          </w:p>
        </w:tc>
      </w:tr>
      <w:tr w:rsidR="006F2884" w:rsidRPr="00A22CC4" w14:paraId="6F14EF36" w14:textId="77777777" w:rsidTr="00F37FF6">
        <w:trPr>
          <w:trHeight w:val="255"/>
        </w:trPr>
        <w:tc>
          <w:tcPr>
            <w:tcW w:w="2862" w:type="pct"/>
            <w:noWrap/>
            <w:vAlign w:val="bottom"/>
          </w:tcPr>
          <w:p w14:paraId="71AE646F"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Соціальне страхування</w:t>
            </w:r>
          </w:p>
        </w:tc>
        <w:tc>
          <w:tcPr>
            <w:tcW w:w="1069" w:type="pct"/>
            <w:vAlign w:val="bottom"/>
          </w:tcPr>
          <w:p w14:paraId="4A4FEA76" w14:textId="5F3D5FAC"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(1</w:t>
            </w:r>
            <w:r w:rsidR="00406F21" w:rsidRPr="00406F21">
              <w:rPr>
                <w:color w:val="000000" w:themeColor="text1"/>
                <w:szCs w:val="20"/>
              </w:rPr>
              <w:t>2</w:t>
            </w:r>
            <w:r w:rsidRPr="00406F21">
              <w:rPr>
                <w:color w:val="000000" w:themeColor="text1"/>
                <w:szCs w:val="20"/>
              </w:rPr>
              <w:t xml:space="preserve"> </w:t>
            </w:r>
            <w:r w:rsidR="00406F21" w:rsidRPr="00406F21">
              <w:rPr>
                <w:color w:val="000000" w:themeColor="text1"/>
                <w:szCs w:val="20"/>
              </w:rPr>
              <w:t>171</w:t>
            </w:r>
            <w:r w:rsidRPr="00406F21">
              <w:rPr>
                <w:color w:val="000000" w:themeColor="text1"/>
                <w:szCs w:val="20"/>
              </w:rPr>
              <w:t>)</w:t>
            </w:r>
          </w:p>
        </w:tc>
        <w:tc>
          <w:tcPr>
            <w:tcW w:w="1069" w:type="pct"/>
            <w:vAlign w:val="bottom"/>
          </w:tcPr>
          <w:p w14:paraId="76E29FAF" w14:textId="7B87D23B"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(11 636)</w:t>
            </w:r>
          </w:p>
        </w:tc>
      </w:tr>
      <w:tr w:rsidR="006F2884" w:rsidRPr="00A22CC4" w14:paraId="2BB182AC" w14:textId="77777777" w:rsidTr="00F37FF6">
        <w:trPr>
          <w:trHeight w:val="255"/>
        </w:trPr>
        <w:tc>
          <w:tcPr>
            <w:tcW w:w="2862" w:type="pct"/>
            <w:noWrap/>
            <w:vAlign w:val="bottom"/>
          </w:tcPr>
          <w:p w14:paraId="1129E787"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Матеріали</w:t>
            </w:r>
          </w:p>
        </w:tc>
        <w:tc>
          <w:tcPr>
            <w:tcW w:w="1069" w:type="pct"/>
            <w:vAlign w:val="bottom"/>
          </w:tcPr>
          <w:p w14:paraId="0FA3D1BB" w14:textId="19C936BC"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w:t>
            </w:r>
            <w:r w:rsidR="00406F21" w:rsidRPr="00406F21">
              <w:rPr>
                <w:color w:val="000000" w:themeColor="text1"/>
                <w:szCs w:val="20"/>
              </w:rPr>
              <w:t>1 957</w:t>
            </w:r>
            <w:r w:rsidRPr="00406F21">
              <w:rPr>
                <w:color w:val="000000" w:themeColor="text1"/>
                <w:szCs w:val="20"/>
              </w:rPr>
              <w:t>)</w:t>
            </w:r>
          </w:p>
        </w:tc>
        <w:tc>
          <w:tcPr>
            <w:tcW w:w="1069" w:type="pct"/>
            <w:vAlign w:val="bottom"/>
          </w:tcPr>
          <w:p w14:paraId="1AB1A271" w14:textId="225B9400"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(3 047)</w:t>
            </w:r>
          </w:p>
        </w:tc>
      </w:tr>
      <w:tr w:rsidR="006F2884" w:rsidRPr="00A22CC4" w14:paraId="513A462B" w14:textId="77777777" w:rsidTr="00F37FF6">
        <w:trPr>
          <w:trHeight w:val="255"/>
        </w:trPr>
        <w:tc>
          <w:tcPr>
            <w:tcW w:w="2862" w:type="pct"/>
            <w:noWrap/>
            <w:vAlign w:val="bottom"/>
          </w:tcPr>
          <w:p w14:paraId="53EECE1C"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Оренда</w:t>
            </w:r>
          </w:p>
        </w:tc>
        <w:tc>
          <w:tcPr>
            <w:tcW w:w="1069" w:type="pct"/>
            <w:vAlign w:val="bottom"/>
          </w:tcPr>
          <w:p w14:paraId="0B65E8E8" w14:textId="2D6FCE4C"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w:t>
            </w:r>
            <w:r w:rsidR="00406F21" w:rsidRPr="00406F21">
              <w:rPr>
                <w:color w:val="000000" w:themeColor="text1"/>
                <w:szCs w:val="20"/>
              </w:rPr>
              <w:t>15</w:t>
            </w:r>
            <w:r w:rsidRPr="00406F21">
              <w:rPr>
                <w:color w:val="000000" w:themeColor="text1"/>
                <w:szCs w:val="20"/>
              </w:rPr>
              <w:t>)</w:t>
            </w:r>
          </w:p>
        </w:tc>
        <w:tc>
          <w:tcPr>
            <w:tcW w:w="1069" w:type="pct"/>
            <w:vAlign w:val="bottom"/>
          </w:tcPr>
          <w:p w14:paraId="5FA4D2DD" w14:textId="55FA5827"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(78)</w:t>
            </w:r>
          </w:p>
        </w:tc>
      </w:tr>
      <w:tr w:rsidR="006F2884" w:rsidRPr="00A22CC4" w14:paraId="1B6C98C0" w14:textId="77777777" w:rsidTr="00F37FF6">
        <w:trPr>
          <w:trHeight w:val="255"/>
        </w:trPr>
        <w:tc>
          <w:tcPr>
            <w:tcW w:w="2862" w:type="pct"/>
            <w:noWrap/>
            <w:vAlign w:val="bottom"/>
          </w:tcPr>
          <w:p w14:paraId="43A2D050" w14:textId="77777777" w:rsidR="006F2884" w:rsidRPr="00740BDC" w:rsidRDefault="006F2884" w:rsidP="006F2884">
            <w:pPr>
              <w:jc w:val="left"/>
              <w:rPr>
                <w:rFonts w:asciiTheme="minorHAnsi" w:hAnsiTheme="minorHAnsi" w:cstheme="minorHAnsi"/>
                <w:color w:val="000000" w:themeColor="text1"/>
                <w:szCs w:val="20"/>
              </w:rPr>
            </w:pPr>
            <w:r w:rsidRPr="00740BDC">
              <w:rPr>
                <w:rFonts w:asciiTheme="minorHAnsi" w:hAnsiTheme="minorHAnsi" w:cstheme="minorHAnsi"/>
                <w:color w:val="000000" w:themeColor="text1"/>
                <w:szCs w:val="20"/>
              </w:rPr>
              <w:t>Амортизація</w:t>
            </w:r>
          </w:p>
        </w:tc>
        <w:tc>
          <w:tcPr>
            <w:tcW w:w="1069" w:type="pct"/>
            <w:vAlign w:val="bottom"/>
          </w:tcPr>
          <w:p w14:paraId="581E6E18" w14:textId="6F3D7B70" w:rsidR="006F2884" w:rsidRPr="00406F21" w:rsidRDefault="006F2884" w:rsidP="00406F21">
            <w:pPr>
              <w:jc w:val="right"/>
              <w:rPr>
                <w:rFonts w:asciiTheme="minorHAnsi" w:hAnsiTheme="minorHAnsi" w:cstheme="minorHAnsi"/>
                <w:color w:val="000000" w:themeColor="text1"/>
                <w:szCs w:val="20"/>
              </w:rPr>
            </w:pPr>
            <w:r w:rsidRPr="00406F21">
              <w:rPr>
                <w:color w:val="000000" w:themeColor="text1"/>
                <w:szCs w:val="20"/>
              </w:rPr>
              <w:t xml:space="preserve">(2 </w:t>
            </w:r>
            <w:r w:rsidR="00406F21" w:rsidRPr="00406F21">
              <w:rPr>
                <w:color w:val="000000" w:themeColor="text1"/>
                <w:szCs w:val="20"/>
              </w:rPr>
              <w:t>142</w:t>
            </w:r>
            <w:r w:rsidRPr="00406F21">
              <w:rPr>
                <w:color w:val="000000" w:themeColor="text1"/>
                <w:szCs w:val="20"/>
              </w:rPr>
              <w:t>)</w:t>
            </w:r>
          </w:p>
        </w:tc>
        <w:tc>
          <w:tcPr>
            <w:tcW w:w="1069" w:type="pct"/>
            <w:vAlign w:val="bottom"/>
          </w:tcPr>
          <w:p w14:paraId="2272712D" w14:textId="33FBBE33" w:rsidR="006F2884" w:rsidRPr="00740BDC" w:rsidRDefault="006F2884" w:rsidP="006F2884">
            <w:pPr>
              <w:jc w:val="right"/>
              <w:rPr>
                <w:rFonts w:asciiTheme="minorHAnsi" w:hAnsiTheme="minorHAnsi" w:cstheme="minorHAnsi"/>
                <w:color w:val="000000" w:themeColor="text1"/>
                <w:szCs w:val="20"/>
              </w:rPr>
            </w:pPr>
            <w:r w:rsidRPr="00740BDC">
              <w:rPr>
                <w:color w:val="000000" w:themeColor="text1"/>
                <w:szCs w:val="20"/>
              </w:rPr>
              <w:t>(2 117)</w:t>
            </w:r>
          </w:p>
        </w:tc>
      </w:tr>
      <w:tr w:rsidR="006F2884" w:rsidRPr="00A22CC4" w14:paraId="2C31D3A2" w14:textId="77777777" w:rsidTr="00F37FF6">
        <w:trPr>
          <w:trHeight w:val="255"/>
        </w:trPr>
        <w:tc>
          <w:tcPr>
            <w:tcW w:w="2862" w:type="pct"/>
            <w:tcBorders>
              <w:top w:val="single" w:sz="4" w:space="0" w:color="auto"/>
            </w:tcBorders>
            <w:noWrap/>
            <w:vAlign w:val="bottom"/>
          </w:tcPr>
          <w:p w14:paraId="302CC994" w14:textId="77777777" w:rsidR="006F2884" w:rsidRPr="00740BDC" w:rsidRDefault="006F2884" w:rsidP="006F2884">
            <w:pPr>
              <w:jc w:val="left"/>
              <w:rPr>
                <w:rFonts w:asciiTheme="minorHAnsi" w:hAnsiTheme="minorHAnsi" w:cstheme="minorHAnsi"/>
                <w:b/>
                <w:bCs/>
                <w:color w:val="000000" w:themeColor="text1"/>
                <w:szCs w:val="20"/>
              </w:rPr>
            </w:pPr>
            <w:r w:rsidRPr="00740BDC">
              <w:rPr>
                <w:rFonts w:asciiTheme="minorHAnsi" w:hAnsiTheme="minorHAnsi" w:cstheme="minorHAnsi"/>
                <w:b/>
                <w:bCs/>
                <w:color w:val="000000" w:themeColor="text1"/>
                <w:szCs w:val="20"/>
              </w:rPr>
              <w:t>Разом:</w:t>
            </w:r>
          </w:p>
        </w:tc>
        <w:tc>
          <w:tcPr>
            <w:tcW w:w="1069" w:type="pct"/>
            <w:tcBorders>
              <w:top w:val="single" w:sz="4" w:space="0" w:color="auto"/>
            </w:tcBorders>
            <w:vAlign w:val="bottom"/>
          </w:tcPr>
          <w:p w14:paraId="413E05B6" w14:textId="4ED161F2" w:rsidR="006F2884" w:rsidRPr="00406F21" w:rsidRDefault="006F2884" w:rsidP="00406F21">
            <w:pPr>
              <w:jc w:val="right"/>
              <w:rPr>
                <w:rFonts w:asciiTheme="minorHAnsi" w:hAnsiTheme="minorHAnsi" w:cstheme="minorHAnsi"/>
                <w:b/>
                <w:bCs/>
                <w:color w:val="000000" w:themeColor="text1"/>
                <w:szCs w:val="20"/>
              </w:rPr>
            </w:pPr>
            <w:r w:rsidRPr="00406F21">
              <w:rPr>
                <w:b/>
                <w:bCs/>
                <w:color w:val="000000" w:themeColor="text1"/>
                <w:szCs w:val="20"/>
              </w:rPr>
              <w:t>(</w:t>
            </w:r>
            <w:r w:rsidR="00406F21" w:rsidRPr="00406F21">
              <w:rPr>
                <w:b/>
                <w:bCs/>
                <w:color w:val="000000" w:themeColor="text1"/>
                <w:szCs w:val="20"/>
              </w:rPr>
              <w:t>116 991</w:t>
            </w:r>
            <w:r w:rsidRPr="00406F21">
              <w:rPr>
                <w:b/>
                <w:bCs/>
                <w:color w:val="000000" w:themeColor="text1"/>
                <w:szCs w:val="20"/>
              </w:rPr>
              <w:t>)</w:t>
            </w:r>
          </w:p>
        </w:tc>
        <w:tc>
          <w:tcPr>
            <w:tcW w:w="1069" w:type="pct"/>
            <w:tcBorders>
              <w:top w:val="single" w:sz="4" w:space="0" w:color="auto"/>
            </w:tcBorders>
            <w:vAlign w:val="bottom"/>
          </w:tcPr>
          <w:p w14:paraId="036DF3E2" w14:textId="6B1D7EB9" w:rsidR="006F2884" w:rsidRPr="00740BDC" w:rsidRDefault="006F2884" w:rsidP="006F2884">
            <w:pPr>
              <w:jc w:val="right"/>
              <w:rPr>
                <w:rFonts w:asciiTheme="minorHAnsi" w:hAnsiTheme="minorHAnsi" w:cstheme="minorHAnsi"/>
                <w:b/>
                <w:bCs/>
                <w:color w:val="000000" w:themeColor="text1"/>
                <w:szCs w:val="20"/>
              </w:rPr>
            </w:pPr>
            <w:r w:rsidRPr="00740BDC">
              <w:rPr>
                <w:b/>
                <w:bCs/>
                <w:color w:val="000000" w:themeColor="text1"/>
                <w:szCs w:val="20"/>
              </w:rPr>
              <w:t>(117 547)</w:t>
            </w:r>
          </w:p>
        </w:tc>
      </w:tr>
    </w:tbl>
    <w:p w14:paraId="0E90BFFA" w14:textId="77777777" w:rsidR="003F3382" w:rsidRPr="00A22CC4" w:rsidRDefault="003F3382" w:rsidP="00CA3F1C">
      <w:pPr>
        <w:rPr>
          <w:rFonts w:asciiTheme="minorHAnsi" w:hAnsiTheme="minorHAnsi" w:cstheme="minorHAnsi"/>
          <w:color w:val="FF0000"/>
        </w:rPr>
      </w:pPr>
    </w:p>
    <w:tbl>
      <w:tblPr>
        <w:tblW w:w="4999" w:type="pct"/>
        <w:tblLook w:val="00A0" w:firstRow="1" w:lastRow="0" w:firstColumn="1" w:lastColumn="0" w:noHBand="0" w:noVBand="0"/>
      </w:tblPr>
      <w:tblGrid>
        <w:gridCol w:w="5515"/>
        <w:gridCol w:w="2060"/>
        <w:gridCol w:w="2060"/>
      </w:tblGrid>
      <w:tr w:rsidR="00A22CC4" w:rsidRPr="00A22CC4" w14:paraId="4F7609ED" w14:textId="77777777" w:rsidTr="00F37FF6">
        <w:trPr>
          <w:cantSplit/>
          <w:trHeight w:val="510"/>
          <w:tblHeader/>
        </w:trPr>
        <w:tc>
          <w:tcPr>
            <w:tcW w:w="2862" w:type="pct"/>
            <w:tcBorders>
              <w:bottom w:val="single" w:sz="4" w:space="0" w:color="auto"/>
            </w:tcBorders>
            <w:shd w:val="clear" w:color="000000" w:fill="FFFFFF"/>
            <w:noWrap/>
            <w:vAlign w:val="center"/>
          </w:tcPr>
          <w:p w14:paraId="6221904B" w14:textId="7832B916" w:rsidR="00F37FF6" w:rsidRPr="002C2F85" w:rsidRDefault="00F37FF6" w:rsidP="00CA3F1C">
            <w:pPr>
              <w:jc w:val="lef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7.3 Витрати на збут</w:t>
            </w:r>
          </w:p>
        </w:tc>
        <w:tc>
          <w:tcPr>
            <w:tcW w:w="1069" w:type="pct"/>
            <w:tcBorders>
              <w:bottom w:val="single" w:sz="4" w:space="0" w:color="auto"/>
            </w:tcBorders>
            <w:shd w:val="clear" w:color="000000" w:fill="FFFFFF"/>
            <w:vAlign w:val="center"/>
          </w:tcPr>
          <w:p w14:paraId="1754A77A" w14:textId="77777777" w:rsidR="00F37FF6" w:rsidRPr="002C2F85"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За рік, що</w:t>
            </w:r>
          </w:p>
          <w:p w14:paraId="25A9C19F" w14:textId="77777777" w:rsidR="00F37FF6" w:rsidRPr="002C2F85"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 xml:space="preserve"> закінчився</w:t>
            </w:r>
          </w:p>
          <w:p w14:paraId="00C8E633" w14:textId="6FF0B3F2" w:rsidR="00F37FF6" w:rsidRPr="002C2F85" w:rsidRDefault="00F37FF6" w:rsidP="006F2884">
            <w:pPr>
              <w:pStyle w:val="af7"/>
              <w:tabs>
                <w:tab w:val="left" w:pos="2305"/>
              </w:tabs>
              <w:spacing w:before="0" w:after="0"/>
              <w:jc w:val="righ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20</w:t>
            </w:r>
          </w:p>
        </w:tc>
        <w:tc>
          <w:tcPr>
            <w:tcW w:w="1069" w:type="pct"/>
            <w:tcBorders>
              <w:bottom w:val="single" w:sz="4" w:space="0" w:color="auto"/>
            </w:tcBorders>
            <w:shd w:val="clear" w:color="000000" w:fill="FFFFFF"/>
            <w:vAlign w:val="center"/>
          </w:tcPr>
          <w:p w14:paraId="43A90640" w14:textId="77777777" w:rsidR="00F37FF6" w:rsidRPr="002C2F85"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За рік, що</w:t>
            </w:r>
          </w:p>
          <w:p w14:paraId="46619D37" w14:textId="77777777" w:rsidR="00F37FF6" w:rsidRPr="002C2F85" w:rsidRDefault="00F37FF6" w:rsidP="00CA3F1C">
            <w:pPr>
              <w:pStyle w:val="af7"/>
              <w:tabs>
                <w:tab w:val="left" w:pos="2305"/>
              </w:tabs>
              <w:spacing w:before="0" w:after="0"/>
              <w:jc w:val="righ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 xml:space="preserve"> закінчився</w:t>
            </w:r>
          </w:p>
          <w:p w14:paraId="37A1A650" w14:textId="2F120683" w:rsidR="00F37FF6" w:rsidRPr="002C2F85" w:rsidRDefault="00F37FF6" w:rsidP="006F2884">
            <w:pPr>
              <w:pStyle w:val="af7"/>
              <w:tabs>
                <w:tab w:val="left" w:pos="2305"/>
              </w:tabs>
              <w:spacing w:before="0" w:after="0"/>
              <w:jc w:val="right"/>
              <w:rPr>
                <w:rFonts w:asciiTheme="minorHAnsi" w:hAnsiTheme="minorHAnsi" w:cstheme="minorHAnsi"/>
                <w:b/>
                <w:color w:val="000000" w:themeColor="text1"/>
                <w:szCs w:val="20"/>
              </w:rPr>
            </w:pPr>
            <w:r w:rsidRPr="002C2F85">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19</w:t>
            </w:r>
          </w:p>
        </w:tc>
      </w:tr>
      <w:tr w:rsidR="006F2884" w:rsidRPr="00A22CC4" w14:paraId="6ED56364" w14:textId="77777777" w:rsidTr="00F37FF6">
        <w:trPr>
          <w:cantSplit/>
          <w:trHeight w:val="255"/>
        </w:trPr>
        <w:tc>
          <w:tcPr>
            <w:tcW w:w="2862" w:type="pct"/>
            <w:tcBorders>
              <w:top w:val="single" w:sz="4" w:space="0" w:color="auto"/>
            </w:tcBorders>
            <w:shd w:val="clear" w:color="000000" w:fill="FFFFFF"/>
            <w:noWrap/>
            <w:vAlign w:val="bottom"/>
          </w:tcPr>
          <w:p w14:paraId="7E67B225" w14:textId="5A919651"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Транспортні послуги</w:t>
            </w:r>
          </w:p>
        </w:tc>
        <w:tc>
          <w:tcPr>
            <w:tcW w:w="1069" w:type="pct"/>
            <w:tcBorders>
              <w:top w:val="single" w:sz="4" w:space="0" w:color="auto"/>
            </w:tcBorders>
            <w:shd w:val="clear" w:color="000000" w:fill="FFFFFF"/>
            <w:vAlign w:val="bottom"/>
          </w:tcPr>
          <w:p w14:paraId="6B2A289B" w14:textId="7AB695A6" w:rsidR="006F2884" w:rsidRPr="00424829" w:rsidRDefault="006F2884" w:rsidP="00424829">
            <w:pPr>
              <w:jc w:val="right"/>
              <w:rPr>
                <w:rFonts w:asciiTheme="minorHAnsi" w:hAnsiTheme="minorHAnsi" w:cstheme="minorHAnsi"/>
                <w:color w:val="000000" w:themeColor="text1"/>
                <w:szCs w:val="20"/>
              </w:rPr>
            </w:pPr>
            <w:r w:rsidRPr="00424829">
              <w:rPr>
                <w:color w:val="000000" w:themeColor="text1"/>
                <w:szCs w:val="20"/>
              </w:rPr>
              <w:t>(</w:t>
            </w:r>
            <w:r w:rsidR="00424829" w:rsidRPr="00424829">
              <w:rPr>
                <w:color w:val="000000" w:themeColor="text1"/>
                <w:szCs w:val="20"/>
              </w:rPr>
              <w:t>3 207</w:t>
            </w:r>
            <w:r w:rsidRPr="00424829">
              <w:rPr>
                <w:color w:val="000000" w:themeColor="text1"/>
                <w:szCs w:val="20"/>
              </w:rPr>
              <w:t>)</w:t>
            </w:r>
          </w:p>
        </w:tc>
        <w:tc>
          <w:tcPr>
            <w:tcW w:w="1069" w:type="pct"/>
            <w:tcBorders>
              <w:top w:val="single" w:sz="4" w:space="0" w:color="auto"/>
            </w:tcBorders>
            <w:shd w:val="clear" w:color="000000" w:fill="FFFFFF"/>
            <w:vAlign w:val="bottom"/>
          </w:tcPr>
          <w:p w14:paraId="4B64A331" w14:textId="3A4636B7"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(2 285)</w:t>
            </w:r>
          </w:p>
        </w:tc>
      </w:tr>
      <w:tr w:rsidR="006F2884" w:rsidRPr="00A22CC4" w14:paraId="702DD4C2" w14:textId="77777777" w:rsidTr="00F37FF6">
        <w:trPr>
          <w:cantSplit/>
          <w:trHeight w:val="255"/>
        </w:trPr>
        <w:tc>
          <w:tcPr>
            <w:tcW w:w="2862" w:type="pct"/>
            <w:shd w:val="clear" w:color="000000" w:fill="FFFFFF"/>
            <w:noWrap/>
            <w:vAlign w:val="bottom"/>
          </w:tcPr>
          <w:p w14:paraId="0B52F64E" w14:textId="2F1B3F75"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Матеріали</w:t>
            </w:r>
          </w:p>
        </w:tc>
        <w:tc>
          <w:tcPr>
            <w:tcW w:w="1069" w:type="pct"/>
            <w:shd w:val="clear" w:color="000000" w:fill="FFFFFF"/>
            <w:vAlign w:val="bottom"/>
          </w:tcPr>
          <w:p w14:paraId="08BFD54C" w14:textId="6CF89F5A" w:rsidR="006F2884" w:rsidRPr="00424829" w:rsidRDefault="006F2884" w:rsidP="00424829">
            <w:pPr>
              <w:jc w:val="right"/>
              <w:rPr>
                <w:rFonts w:asciiTheme="minorHAnsi" w:hAnsiTheme="minorHAnsi" w:cstheme="minorHAnsi"/>
                <w:color w:val="000000" w:themeColor="text1"/>
                <w:szCs w:val="20"/>
              </w:rPr>
            </w:pPr>
            <w:r w:rsidRPr="00424829">
              <w:rPr>
                <w:color w:val="000000" w:themeColor="text1"/>
                <w:szCs w:val="20"/>
              </w:rPr>
              <w:t xml:space="preserve">(5 </w:t>
            </w:r>
            <w:r w:rsidR="00424829" w:rsidRPr="00424829">
              <w:rPr>
                <w:color w:val="000000" w:themeColor="text1"/>
                <w:szCs w:val="20"/>
              </w:rPr>
              <w:t>350</w:t>
            </w:r>
            <w:r w:rsidRPr="00424829">
              <w:rPr>
                <w:color w:val="000000" w:themeColor="text1"/>
                <w:szCs w:val="20"/>
              </w:rPr>
              <w:t>)</w:t>
            </w:r>
          </w:p>
        </w:tc>
        <w:tc>
          <w:tcPr>
            <w:tcW w:w="1069" w:type="pct"/>
            <w:shd w:val="clear" w:color="000000" w:fill="FFFFFF"/>
            <w:vAlign w:val="bottom"/>
          </w:tcPr>
          <w:p w14:paraId="4266789C" w14:textId="5530E30B"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(5 905)</w:t>
            </w:r>
          </w:p>
        </w:tc>
      </w:tr>
      <w:tr w:rsidR="006F2884" w:rsidRPr="00A22CC4" w14:paraId="7F6C9A02" w14:textId="77777777" w:rsidTr="00F37FF6">
        <w:trPr>
          <w:cantSplit/>
          <w:trHeight w:val="255"/>
        </w:trPr>
        <w:tc>
          <w:tcPr>
            <w:tcW w:w="2862" w:type="pct"/>
            <w:shd w:val="clear" w:color="000000" w:fill="FFFFFF"/>
            <w:noWrap/>
            <w:vAlign w:val="bottom"/>
          </w:tcPr>
          <w:p w14:paraId="74E8394E" w14:textId="0FD9B233"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Маркетингові послуги та послуги з просування товарів</w:t>
            </w:r>
          </w:p>
        </w:tc>
        <w:tc>
          <w:tcPr>
            <w:tcW w:w="1069" w:type="pct"/>
            <w:shd w:val="clear" w:color="000000" w:fill="FFFFFF"/>
            <w:vAlign w:val="bottom"/>
          </w:tcPr>
          <w:p w14:paraId="0BEB62C5" w14:textId="47A905C3" w:rsidR="006F2884" w:rsidRPr="00424829" w:rsidRDefault="006F2884" w:rsidP="00424829">
            <w:pPr>
              <w:jc w:val="right"/>
              <w:rPr>
                <w:rFonts w:asciiTheme="minorHAnsi" w:hAnsiTheme="minorHAnsi" w:cstheme="minorHAnsi"/>
                <w:color w:val="000000" w:themeColor="text1"/>
                <w:szCs w:val="20"/>
              </w:rPr>
            </w:pPr>
            <w:r w:rsidRPr="00424829">
              <w:rPr>
                <w:color w:val="000000" w:themeColor="text1"/>
                <w:szCs w:val="20"/>
              </w:rPr>
              <w:t>(</w:t>
            </w:r>
            <w:r w:rsidR="00424829" w:rsidRPr="00424829">
              <w:rPr>
                <w:color w:val="000000" w:themeColor="text1"/>
                <w:szCs w:val="20"/>
              </w:rPr>
              <w:t>178 681</w:t>
            </w:r>
            <w:r w:rsidRPr="00424829">
              <w:rPr>
                <w:color w:val="000000" w:themeColor="text1"/>
                <w:szCs w:val="20"/>
              </w:rPr>
              <w:t>)</w:t>
            </w:r>
          </w:p>
        </w:tc>
        <w:tc>
          <w:tcPr>
            <w:tcW w:w="1069" w:type="pct"/>
            <w:shd w:val="clear" w:color="000000" w:fill="FFFFFF"/>
            <w:vAlign w:val="bottom"/>
          </w:tcPr>
          <w:p w14:paraId="6038D5BD" w14:textId="7226D4AA"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(269 355)</w:t>
            </w:r>
          </w:p>
        </w:tc>
      </w:tr>
      <w:tr w:rsidR="006F2884" w:rsidRPr="00A22CC4" w14:paraId="113F8B2D" w14:textId="77777777" w:rsidTr="00F37FF6">
        <w:trPr>
          <w:cantSplit/>
          <w:trHeight w:val="255"/>
        </w:trPr>
        <w:tc>
          <w:tcPr>
            <w:tcW w:w="2862" w:type="pct"/>
            <w:shd w:val="clear" w:color="000000" w:fill="FFFFFF"/>
            <w:noWrap/>
            <w:vAlign w:val="bottom"/>
          </w:tcPr>
          <w:p w14:paraId="1D0B8050" w14:textId="6FFCE4D7"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Заробітна плата</w:t>
            </w:r>
          </w:p>
        </w:tc>
        <w:tc>
          <w:tcPr>
            <w:tcW w:w="1069" w:type="pct"/>
            <w:shd w:val="clear" w:color="000000" w:fill="FFFFFF"/>
            <w:vAlign w:val="bottom"/>
          </w:tcPr>
          <w:p w14:paraId="5D464105" w14:textId="5DB7BFD1" w:rsidR="006F2884" w:rsidRPr="00EA1F03" w:rsidRDefault="006F2884" w:rsidP="00424829">
            <w:pPr>
              <w:jc w:val="right"/>
              <w:rPr>
                <w:rFonts w:asciiTheme="minorHAnsi" w:hAnsiTheme="minorHAnsi" w:cstheme="minorHAnsi"/>
                <w:color w:val="000000" w:themeColor="text1"/>
                <w:szCs w:val="20"/>
              </w:rPr>
            </w:pPr>
            <w:r w:rsidRPr="00EA1F03">
              <w:rPr>
                <w:color w:val="000000" w:themeColor="text1"/>
                <w:szCs w:val="20"/>
              </w:rPr>
              <w:t>(4</w:t>
            </w:r>
            <w:r w:rsidR="00424829" w:rsidRPr="00EA1F03">
              <w:rPr>
                <w:color w:val="000000" w:themeColor="text1"/>
                <w:szCs w:val="20"/>
              </w:rPr>
              <w:t>3</w:t>
            </w:r>
            <w:r w:rsidRPr="00EA1F03">
              <w:rPr>
                <w:color w:val="000000" w:themeColor="text1"/>
                <w:szCs w:val="20"/>
              </w:rPr>
              <w:t xml:space="preserve"> </w:t>
            </w:r>
            <w:r w:rsidR="00424829" w:rsidRPr="00EA1F03">
              <w:rPr>
                <w:color w:val="000000" w:themeColor="text1"/>
                <w:szCs w:val="20"/>
              </w:rPr>
              <w:t>899</w:t>
            </w:r>
            <w:r w:rsidRPr="00EA1F03">
              <w:rPr>
                <w:color w:val="000000" w:themeColor="text1"/>
                <w:szCs w:val="20"/>
              </w:rPr>
              <w:t>)</w:t>
            </w:r>
          </w:p>
        </w:tc>
        <w:tc>
          <w:tcPr>
            <w:tcW w:w="1069" w:type="pct"/>
            <w:shd w:val="clear" w:color="000000" w:fill="FFFFFF"/>
            <w:vAlign w:val="bottom"/>
          </w:tcPr>
          <w:p w14:paraId="6B39535A" w14:textId="2419A404"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(48 649)</w:t>
            </w:r>
          </w:p>
        </w:tc>
      </w:tr>
      <w:tr w:rsidR="006F2884" w:rsidRPr="00A22CC4" w14:paraId="16FA5331" w14:textId="77777777" w:rsidTr="00F37FF6">
        <w:trPr>
          <w:cantSplit/>
          <w:trHeight w:val="255"/>
        </w:trPr>
        <w:tc>
          <w:tcPr>
            <w:tcW w:w="2862" w:type="pct"/>
            <w:shd w:val="clear" w:color="000000" w:fill="FFFFFF"/>
            <w:noWrap/>
            <w:vAlign w:val="bottom"/>
          </w:tcPr>
          <w:p w14:paraId="79E1CD11" w14:textId="6EE70260"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Соціальне страхування</w:t>
            </w:r>
          </w:p>
        </w:tc>
        <w:tc>
          <w:tcPr>
            <w:tcW w:w="1069" w:type="pct"/>
            <w:shd w:val="clear" w:color="000000" w:fill="FFFFFF"/>
            <w:vAlign w:val="bottom"/>
          </w:tcPr>
          <w:p w14:paraId="668507EC" w14:textId="43B84DF9" w:rsidR="006F2884" w:rsidRPr="00EA1F03" w:rsidRDefault="006F2884" w:rsidP="00424829">
            <w:pPr>
              <w:jc w:val="right"/>
              <w:rPr>
                <w:rFonts w:asciiTheme="minorHAnsi" w:hAnsiTheme="minorHAnsi" w:cstheme="minorHAnsi"/>
                <w:color w:val="000000" w:themeColor="text1"/>
                <w:szCs w:val="20"/>
              </w:rPr>
            </w:pPr>
            <w:r w:rsidRPr="00EA1F03">
              <w:rPr>
                <w:color w:val="000000" w:themeColor="text1"/>
                <w:szCs w:val="20"/>
              </w:rPr>
              <w:t>(</w:t>
            </w:r>
            <w:r w:rsidR="00424829" w:rsidRPr="00EA1F03">
              <w:rPr>
                <w:color w:val="000000" w:themeColor="text1"/>
                <w:szCs w:val="20"/>
              </w:rPr>
              <w:t>7</w:t>
            </w:r>
            <w:r w:rsidRPr="00EA1F03">
              <w:rPr>
                <w:color w:val="000000" w:themeColor="text1"/>
                <w:szCs w:val="20"/>
              </w:rPr>
              <w:t xml:space="preserve"> </w:t>
            </w:r>
            <w:r w:rsidR="00424829" w:rsidRPr="00EA1F03">
              <w:rPr>
                <w:color w:val="000000" w:themeColor="text1"/>
                <w:szCs w:val="20"/>
              </w:rPr>
              <w:t>999</w:t>
            </w:r>
            <w:r w:rsidRPr="00EA1F03">
              <w:rPr>
                <w:color w:val="000000" w:themeColor="text1"/>
                <w:szCs w:val="20"/>
              </w:rPr>
              <w:t>)</w:t>
            </w:r>
          </w:p>
        </w:tc>
        <w:tc>
          <w:tcPr>
            <w:tcW w:w="1069" w:type="pct"/>
            <w:shd w:val="clear" w:color="000000" w:fill="FFFFFF"/>
            <w:vAlign w:val="bottom"/>
          </w:tcPr>
          <w:p w14:paraId="188DE797" w14:textId="0AD078A5"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(8 546)</w:t>
            </w:r>
          </w:p>
        </w:tc>
      </w:tr>
      <w:tr w:rsidR="006F2884" w:rsidRPr="00A22CC4" w14:paraId="1048C0EF" w14:textId="77777777" w:rsidTr="00F37FF6">
        <w:trPr>
          <w:cantSplit/>
          <w:trHeight w:val="255"/>
        </w:trPr>
        <w:tc>
          <w:tcPr>
            <w:tcW w:w="2862" w:type="pct"/>
            <w:shd w:val="clear" w:color="000000" w:fill="FFFFFF"/>
            <w:noWrap/>
            <w:vAlign w:val="bottom"/>
          </w:tcPr>
          <w:p w14:paraId="4A757EC9" w14:textId="1F679E6E"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Амортизація</w:t>
            </w:r>
          </w:p>
        </w:tc>
        <w:tc>
          <w:tcPr>
            <w:tcW w:w="1069" w:type="pct"/>
            <w:shd w:val="clear" w:color="000000" w:fill="FFFFFF"/>
            <w:vAlign w:val="bottom"/>
          </w:tcPr>
          <w:p w14:paraId="188DD125" w14:textId="2B6B33E0" w:rsidR="006F2884" w:rsidRPr="00EA1F03" w:rsidRDefault="006F2884" w:rsidP="00424829">
            <w:pPr>
              <w:jc w:val="right"/>
              <w:rPr>
                <w:rFonts w:asciiTheme="minorHAnsi" w:hAnsiTheme="minorHAnsi" w:cstheme="minorHAnsi"/>
                <w:color w:val="000000" w:themeColor="text1"/>
                <w:szCs w:val="20"/>
              </w:rPr>
            </w:pPr>
            <w:r w:rsidRPr="00EA1F03">
              <w:rPr>
                <w:color w:val="000000" w:themeColor="text1"/>
                <w:szCs w:val="20"/>
              </w:rPr>
              <w:t xml:space="preserve">(12 </w:t>
            </w:r>
            <w:r w:rsidR="00424829" w:rsidRPr="00EA1F03">
              <w:rPr>
                <w:color w:val="000000" w:themeColor="text1"/>
                <w:szCs w:val="20"/>
              </w:rPr>
              <w:t>965</w:t>
            </w:r>
            <w:r w:rsidRPr="00EA1F03">
              <w:rPr>
                <w:color w:val="000000" w:themeColor="text1"/>
                <w:szCs w:val="20"/>
              </w:rPr>
              <w:t>)</w:t>
            </w:r>
          </w:p>
        </w:tc>
        <w:tc>
          <w:tcPr>
            <w:tcW w:w="1069" w:type="pct"/>
            <w:shd w:val="clear" w:color="000000" w:fill="FFFFFF"/>
            <w:vAlign w:val="bottom"/>
          </w:tcPr>
          <w:p w14:paraId="139D300B" w14:textId="74AB05B8"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(12 295)</w:t>
            </w:r>
          </w:p>
        </w:tc>
      </w:tr>
      <w:tr w:rsidR="006F2884" w:rsidRPr="00A22CC4" w14:paraId="46291DB8" w14:textId="77777777" w:rsidTr="00F37FF6">
        <w:trPr>
          <w:cantSplit/>
          <w:trHeight w:val="255"/>
        </w:trPr>
        <w:tc>
          <w:tcPr>
            <w:tcW w:w="2862" w:type="pct"/>
            <w:shd w:val="clear" w:color="000000" w:fill="FFFFFF"/>
            <w:noWrap/>
            <w:vAlign w:val="bottom"/>
          </w:tcPr>
          <w:p w14:paraId="2947F962" w14:textId="56C937CB"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Оренда</w:t>
            </w:r>
          </w:p>
        </w:tc>
        <w:tc>
          <w:tcPr>
            <w:tcW w:w="1069" w:type="pct"/>
            <w:shd w:val="clear" w:color="000000" w:fill="FFFFFF"/>
            <w:vAlign w:val="bottom"/>
          </w:tcPr>
          <w:p w14:paraId="4936F573" w14:textId="3E9B76C4" w:rsidR="006F2884" w:rsidRPr="00FD3C37" w:rsidRDefault="00FD3C37" w:rsidP="00424829">
            <w:pPr>
              <w:jc w:val="right"/>
              <w:rPr>
                <w:rFonts w:asciiTheme="minorHAnsi" w:hAnsiTheme="minorHAnsi" w:cstheme="minorHAnsi"/>
                <w:color w:val="000000" w:themeColor="text1"/>
                <w:szCs w:val="20"/>
                <w:lang w:val="ru-RU"/>
              </w:rPr>
            </w:pPr>
            <w:r>
              <w:rPr>
                <w:color w:val="000000" w:themeColor="text1"/>
                <w:szCs w:val="20"/>
                <w:lang w:val="ru-RU"/>
              </w:rPr>
              <w:t>-</w:t>
            </w:r>
          </w:p>
        </w:tc>
        <w:tc>
          <w:tcPr>
            <w:tcW w:w="1069" w:type="pct"/>
            <w:shd w:val="clear" w:color="000000" w:fill="FFFFFF"/>
            <w:vAlign w:val="bottom"/>
          </w:tcPr>
          <w:p w14:paraId="5C73163E" w14:textId="177BE7C3"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(130)</w:t>
            </w:r>
          </w:p>
        </w:tc>
      </w:tr>
      <w:tr w:rsidR="006F2884" w:rsidRPr="00A22CC4" w14:paraId="25E9F860" w14:textId="77777777" w:rsidTr="00F37FF6">
        <w:trPr>
          <w:cantSplit/>
          <w:trHeight w:val="255"/>
        </w:trPr>
        <w:tc>
          <w:tcPr>
            <w:tcW w:w="2862" w:type="pct"/>
            <w:shd w:val="clear" w:color="000000" w:fill="FFFFFF"/>
            <w:noWrap/>
            <w:vAlign w:val="bottom"/>
          </w:tcPr>
          <w:p w14:paraId="6CCD0452" w14:textId="2342CE8D"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Роялті</w:t>
            </w:r>
          </w:p>
        </w:tc>
        <w:tc>
          <w:tcPr>
            <w:tcW w:w="1069" w:type="pct"/>
            <w:shd w:val="clear" w:color="000000" w:fill="FFFFFF"/>
            <w:vAlign w:val="bottom"/>
          </w:tcPr>
          <w:p w14:paraId="102BAE2F" w14:textId="7C8A542B" w:rsidR="006F2884" w:rsidRPr="00EA1F03" w:rsidRDefault="006F2884" w:rsidP="00A9252C">
            <w:pPr>
              <w:jc w:val="right"/>
              <w:rPr>
                <w:rFonts w:asciiTheme="minorHAnsi" w:hAnsiTheme="minorHAnsi" w:cstheme="minorHAnsi"/>
                <w:color w:val="000000" w:themeColor="text1"/>
                <w:szCs w:val="20"/>
              </w:rPr>
            </w:pPr>
            <w:r w:rsidRPr="00EA1F03">
              <w:rPr>
                <w:color w:val="000000" w:themeColor="text1"/>
                <w:szCs w:val="20"/>
              </w:rPr>
              <w:t>(</w:t>
            </w:r>
            <w:r w:rsidR="00A9252C" w:rsidRPr="00EA1F03">
              <w:rPr>
                <w:color w:val="000000" w:themeColor="text1"/>
                <w:szCs w:val="20"/>
              </w:rPr>
              <w:t>25 984</w:t>
            </w:r>
            <w:r w:rsidRPr="00EA1F03">
              <w:rPr>
                <w:color w:val="000000" w:themeColor="text1"/>
                <w:szCs w:val="20"/>
              </w:rPr>
              <w:t>)</w:t>
            </w:r>
          </w:p>
        </w:tc>
        <w:tc>
          <w:tcPr>
            <w:tcW w:w="1069" w:type="pct"/>
            <w:shd w:val="clear" w:color="000000" w:fill="FFFFFF"/>
            <w:vAlign w:val="bottom"/>
          </w:tcPr>
          <w:p w14:paraId="76C6063B" w14:textId="787F09F2"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(35 889)</w:t>
            </w:r>
          </w:p>
        </w:tc>
      </w:tr>
      <w:tr w:rsidR="006F2884" w:rsidRPr="00A22CC4" w14:paraId="7BEB35DD" w14:textId="77777777" w:rsidTr="00F37FF6">
        <w:trPr>
          <w:cantSplit/>
          <w:trHeight w:val="255"/>
        </w:trPr>
        <w:tc>
          <w:tcPr>
            <w:tcW w:w="2862" w:type="pct"/>
            <w:tcBorders>
              <w:bottom w:val="single" w:sz="4" w:space="0" w:color="auto"/>
            </w:tcBorders>
            <w:shd w:val="clear" w:color="000000" w:fill="FFFFFF"/>
            <w:noWrap/>
            <w:vAlign w:val="bottom"/>
          </w:tcPr>
          <w:p w14:paraId="1BEA46EE" w14:textId="31AF7877" w:rsidR="006F2884" w:rsidRPr="002C2F85" w:rsidRDefault="006F2884" w:rsidP="006F2884">
            <w:pPr>
              <w:jc w:val="left"/>
              <w:rPr>
                <w:rFonts w:asciiTheme="minorHAnsi" w:hAnsiTheme="minorHAnsi" w:cstheme="minorHAnsi"/>
                <w:color w:val="000000" w:themeColor="text1"/>
                <w:szCs w:val="20"/>
              </w:rPr>
            </w:pPr>
            <w:r w:rsidRPr="002C2F85">
              <w:rPr>
                <w:color w:val="000000" w:themeColor="text1"/>
                <w:szCs w:val="20"/>
              </w:rPr>
              <w:t>Інші послуги</w:t>
            </w:r>
          </w:p>
        </w:tc>
        <w:tc>
          <w:tcPr>
            <w:tcW w:w="1069" w:type="pct"/>
            <w:tcBorders>
              <w:bottom w:val="single" w:sz="4" w:space="0" w:color="auto"/>
            </w:tcBorders>
            <w:shd w:val="clear" w:color="000000" w:fill="FFFFFF"/>
            <w:vAlign w:val="bottom"/>
          </w:tcPr>
          <w:p w14:paraId="05AFD9F4" w14:textId="13084487" w:rsidR="006F2884" w:rsidRPr="00EA1F03" w:rsidRDefault="006F2884" w:rsidP="00A9252C">
            <w:pPr>
              <w:jc w:val="right"/>
              <w:rPr>
                <w:rFonts w:asciiTheme="minorHAnsi" w:hAnsiTheme="minorHAnsi" w:cstheme="minorHAnsi"/>
                <w:color w:val="000000" w:themeColor="text1"/>
                <w:szCs w:val="20"/>
              </w:rPr>
            </w:pPr>
            <w:r w:rsidRPr="00EA1F03">
              <w:rPr>
                <w:color w:val="000000" w:themeColor="text1"/>
                <w:szCs w:val="20"/>
              </w:rPr>
              <w:t>(</w:t>
            </w:r>
            <w:r w:rsidR="00A9252C" w:rsidRPr="00EA1F03">
              <w:rPr>
                <w:color w:val="000000" w:themeColor="text1"/>
                <w:szCs w:val="20"/>
              </w:rPr>
              <w:t xml:space="preserve">15 </w:t>
            </w:r>
            <w:r w:rsidR="00424829" w:rsidRPr="00EA1F03">
              <w:rPr>
                <w:color w:val="000000" w:themeColor="text1"/>
                <w:szCs w:val="20"/>
              </w:rPr>
              <w:t>8</w:t>
            </w:r>
            <w:r w:rsidR="00A9252C" w:rsidRPr="00EA1F03">
              <w:rPr>
                <w:color w:val="000000" w:themeColor="text1"/>
                <w:szCs w:val="20"/>
              </w:rPr>
              <w:t>24</w:t>
            </w:r>
            <w:r w:rsidRPr="00EA1F03">
              <w:rPr>
                <w:color w:val="000000" w:themeColor="text1"/>
                <w:szCs w:val="20"/>
              </w:rPr>
              <w:t>)</w:t>
            </w:r>
          </w:p>
        </w:tc>
        <w:tc>
          <w:tcPr>
            <w:tcW w:w="1069" w:type="pct"/>
            <w:tcBorders>
              <w:bottom w:val="single" w:sz="4" w:space="0" w:color="auto"/>
            </w:tcBorders>
            <w:shd w:val="clear" w:color="000000" w:fill="FFFFFF"/>
            <w:vAlign w:val="bottom"/>
          </w:tcPr>
          <w:p w14:paraId="46490FAD" w14:textId="646A23FF" w:rsidR="006F2884" w:rsidRPr="002C2F85" w:rsidRDefault="006F2884" w:rsidP="006F2884">
            <w:pPr>
              <w:jc w:val="right"/>
              <w:rPr>
                <w:rFonts w:asciiTheme="minorHAnsi" w:hAnsiTheme="minorHAnsi" w:cstheme="minorHAnsi"/>
                <w:color w:val="000000" w:themeColor="text1"/>
                <w:szCs w:val="20"/>
              </w:rPr>
            </w:pPr>
            <w:r w:rsidRPr="002C2F85">
              <w:rPr>
                <w:color w:val="000000" w:themeColor="text1"/>
                <w:szCs w:val="20"/>
              </w:rPr>
              <w:t>(21 877)</w:t>
            </w:r>
          </w:p>
        </w:tc>
      </w:tr>
      <w:tr w:rsidR="006F2884" w:rsidRPr="00A22CC4" w14:paraId="19CFB976" w14:textId="77777777" w:rsidTr="00F37FF6">
        <w:trPr>
          <w:cantSplit/>
          <w:trHeight w:val="255"/>
        </w:trPr>
        <w:tc>
          <w:tcPr>
            <w:tcW w:w="2862" w:type="pct"/>
            <w:tcBorders>
              <w:top w:val="single" w:sz="4" w:space="0" w:color="auto"/>
            </w:tcBorders>
            <w:shd w:val="clear" w:color="000000" w:fill="FFFFFF"/>
            <w:noWrap/>
            <w:vAlign w:val="bottom"/>
          </w:tcPr>
          <w:p w14:paraId="097E4D35" w14:textId="1983AF9A" w:rsidR="006F2884" w:rsidRPr="002C2F85" w:rsidRDefault="006F2884" w:rsidP="006F2884">
            <w:pPr>
              <w:jc w:val="left"/>
              <w:rPr>
                <w:rFonts w:asciiTheme="minorHAnsi" w:hAnsiTheme="minorHAnsi" w:cstheme="minorHAnsi"/>
                <w:b/>
                <w:color w:val="000000" w:themeColor="text1"/>
                <w:szCs w:val="20"/>
              </w:rPr>
            </w:pPr>
            <w:r w:rsidRPr="002C2F85">
              <w:rPr>
                <w:b/>
                <w:bCs/>
                <w:color w:val="000000" w:themeColor="text1"/>
                <w:szCs w:val="20"/>
              </w:rPr>
              <w:t>Разом:</w:t>
            </w:r>
          </w:p>
        </w:tc>
        <w:tc>
          <w:tcPr>
            <w:tcW w:w="1069" w:type="pct"/>
            <w:tcBorders>
              <w:top w:val="single" w:sz="4" w:space="0" w:color="auto"/>
            </w:tcBorders>
            <w:shd w:val="clear" w:color="000000" w:fill="FFFFFF"/>
            <w:vAlign w:val="bottom"/>
          </w:tcPr>
          <w:p w14:paraId="4D64AFB6" w14:textId="3B4348B1" w:rsidR="006F2884" w:rsidRPr="00EA1F03" w:rsidRDefault="006F2884" w:rsidP="00424829">
            <w:pPr>
              <w:jc w:val="right"/>
              <w:rPr>
                <w:rFonts w:asciiTheme="minorHAnsi" w:hAnsiTheme="minorHAnsi" w:cstheme="minorHAnsi"/>
                <w:b/>
                <w:bCs/>
                <w:color w:val="000000" w:themeColor="text1"/>
                <w:szCs w:val="20"/>
              </w:rPr>
            </w:pPr>
            <w:r w:rsidRPr="00EA1F03">
              <w:rPr>
                <w:b/>
                <w:bCs/>
                <w:color w:val="000000" w:themeColor="text1"/>
                <w:szCs w:val="20"/>
              </w:rPr>
              <w:t>(</w:t>
            </w:r>
            <w:r w:rsidR="00424829" w:rsidRPr="00EA1F03">
              <w:rPr>
                <w:b/>
                <w:bCs/>
                <w:color w:val="000000" w:themeColor="text1"/>
                <w:szCs w:val="20"/>
              </w:rPr>
              <w:t>293 909</w:t>
            </w:r>
            <w:r w:rsidRPr="00EA1F03">
              <w:rPr>
                <w:b/>
                <w:bCs/>
                <w:color w:val="000000" w:themeColor="text1"/>
                <w:szCs w:val="20"/>
              </w:rPr>
              <w:t>)</w:t>
            </w:r>
          </w:p>
        </w:tc>
        <w:tc>
          <w:tcPr>
            <w:tcW w:w="1069" w:type="pct"/>
            <w:tcBorders>
              <w:top w:val="single" w:sz="4" w:space="0" w:color="auto"/>
            </w:tcBorders>
            <w:shd w:val="clear" w:color="000000" w:fill="FFFFFF"/>
            <w:vAlign w:val="bottom"/>
          </w:tcPr>
          <w:p w14:paraId="2AB5C192" w14:textId="6465E064" w:rsidR="006F2884" w:rsidRPr="002C2F85" w:rsidRDefault="006F2884" w:rsidP="006F2884">
            <w:pPr>
              <w:jc w:val="right"/>
              <w:rPr>
                <w:rFonts w:asciiTheme="minorHAnsi" w:hAnsiTheme="minorHAnsi" w:cstheme="minorHAnsi"/>
                <w:b/>
                <w:bCs/>
                <w:color w:val="000000" w:themeColor="text1"/>
                <w:szCs w:val="20"/>
              </w:rPr>
            </w:pPr>
            <w:r w:rsidRPr="002C2F85">
              <w:rPr>
                <w:b/>
                <w:bCs/>
                <w:color w:val="000000" w:themeColor="text1"/>
                <w:szCs w:val="20"/>
              </w:rPr>
              <w:t>(404 931)</w:t>
            </w:r>
          </w:p>
        </w:tc>
      </w:tr>
    </w:tbl>
    <w:p w14:paraId="64DDAB5B" w14:textId="26317C0C" w:rsidR="00FD3C37" w:rsidRPr="00A22CC4" w:rsidRDefault="00FD3C37" w:rsidP="00CA3F1C">
      <w:pPr>
        <w:rPr>
          <w:rFonts w:asciiTheme="minorHAnsi" w:hAnsiTheme="minorHAnsi" w:cstheme="minorHAnsi"/>
          <w:color w:val="FF0000"/>
        </w:rPr>
      </w:pPr>
    </w:p>
    <w:tbl>
      <w:tblPr>
        <w:tblW w:w="4999" w:type="pct"/>
        <w:tblLook w:val="0000" w:firstRow="0" w:lastRow="0" w:firstColumn="0" w:lastColumn="0" w:noHBand="0" w:noVBand="0"/>
      </w:tblPr>
      <w:tblGrid>
        <w:gridCol w:w="5515"/>
        <w:gridCol w:w="2060"/>
        <w:gridCol w:w="2060"/>
      </w:tblGrid>
      <w:tr w:rsidR="00A22CC4" w:rsidRPr="003F3EBD" w14:paraId="5E624346" w14:textId="77777777" w:rsidTr="00FD3C37">
        <w:trPr>
          <w:trHeight w:val="510"/>
        </w:trPr>
        <w:tc>
          <w:tcPr>
            <w:tcW w:w="2862" w:type="pct"/>
            <w:tcBorders>
              <w:bottom w:val="single" w:sz="4" w:space="0" w:color="auto"/>
            </w:tcBorders>
            <w:noWrap/>
            <w:vAlign w:val="center"/>
          </w:tcPr>
          <w:p w14:paraId="775008AB" w14:textId="5AD635A3" w:rsidR="00E02F1B" w:rsidRPr="003F3EBD" w:rsidRDefault="00E02F1B" w:rsidP="00CA3F1C">
            <w:pPr>
              <w:jc w:val="left"/>
              <w:rPr>
                <w:rFonts w:asciiTheme="minorHAnsi" w:hAnsiTheme="minorHAnsi" w:cstheme="minorHAnsi"/>
                <w:b/>
                <w:bCs/>
                <w:color w:val="000000" w:themeColor="text1"/>
                <w:szCs w:val="20"/>
              </w:rPr>
            </w:pPr>
            <w:r w:rsidRPr="003F3EBD">
              <w:rPr>
                <w:rFonts w:asciiTheme="minorHAnsi" w:hAnsiTheme="minorHAnsi" w:cstheme="minorHAnsi"/>
                <w:b/>
                <w:bCs/>
                <w:color w:val="000000" w:themeColor="text1"/>
                <w:szCs w:val="20"/>
              </w:rPr>
              <w:t>7.4 Інші витрати</w:t>
            </w:r>
          </w:p>
        </w:tc>
        <w:tc>
          <w:tcPr>
            <w:tcW w:w="1069" w:type="pct"/>
            <w:tcBorders>
              <w:bottom w:val="single" w:sz="4" w:space="0" w:color="auto"/>
            </w:tcBorders>
            <w:vAlign w:val="center"/>
          </w:tcPr>
          <w:p w14:paraId="21A3FE62" w14:textId="77777777" w:rsidR="00E02F1B" w:rsidRPr="003F3EBD" w:rsidRDefault="00E02F1B" w:rsidP="00CA3F1C">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За рік, що</w:t>
            </w:r>
          </w:p>
          <w:p w14:paraId="2B62AB1A" w14:textId="77777777" w:rsidR="00E02F1B" w:rsidRPr="003F3EBD" w:rsidRDefault="00E02F1B" w:rsidP="00CA3F1C">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закінчився</w:t>
            </w:r>
          </w:p>
          <w:p w14:paraId="51850E61" w14:textId="5099B354" w:rsidR="00E02F1B" w:rsidRPr="003F3EBD" w:rsidRDefault="00E02F1B" w:rsidP="006F2884">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20</w:t>
            </w:r>
          </w:p>
        </w:tc>
        <w:tc>
          <w:tcPr>
            <w:tcW w:w="1069" w:type="pct"/>
            <w:tcBorders>
              <w:bottom w:val="single" w:sz="4" w:space="0" w:color="auto"/>
            </w:tcBorders>
            <w:vAlign w:val="center"/>
          </w:tcPr>
          <w:p w14:paraId="67BA9E77" w14:textId="77777777" w:rsidR="00E02F1B" w:rsidRPr="003F3EBD" w:rsidRDefault="00E02F1B" w:rsidP="00CA3F1C">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За рік, що</w:t>
            </w:r>
          </w:p>
          <w:p w14:paraId="7D5E31FD" w14:textId="77777777" w:rsidR="00E02F1B" w:rsidRPr="003F3EBD" w:rsidRDefault="00E02F1B" w:rsidP="00CA3F1C">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закінчився</w:t>
            </w:r>
          </w:p>
          <w:p w14:paraId="213DE40B" w14:textId="272003BC" w:rsidR="00E02F1B" w:rsidRPr="003F3EBD" w:rsidRDefault="00E02F1B" w:rsidP="006F2884">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19</w:t>
            </w:r>
          </w:p>
        </w:tc>
      </w:tr>
      <w:tr w:rsidR="006F2884" w:rsidRPr="003F3EBD" w14:paraId="7B3BEDDC" w14:textId="77777777" w:rsidTr="00FD3C37">
        <w:trPr>
          <w:trHeight w:val="255"/>
        </w:trPr>
        <w:tc>
          <w:tcPr>
            <w:tcW w:w="2862" w:type="pct"/>
            <w:tcBorders>
              <w:top w:val="single" w:sz="4" w:space="0" w:color="auto"/>
            </w:tcBorders>
            <w:noWrap/>
            <w:vAlign w:val="bottom"/>
          </w:tcPr>
          <w:p w14:paraId="7ABBC6FE" w14:textId="1B648131"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Збиток від реалізації іноземної валюти</w:t>
            </w:r>
          </w:p>
        </w:tc>
        <w:tc>
          <w:tcPr>
            <w:tcW w:w="1069" w:type="pct"/>
            <w:tcBorders>
              <w:top w:val="single" w:sz="4" w:space="0" w:color="auto"/>
            </w:tcBorders>
            <w:vAlign w:val="bottom"/>
          </w:tcPr>
          <w:p w14:paraId="10CDF410" w14:textId="6F65D1B8" w:rsidR="006F2884" w:rsidRPr="00D75942" w:rsidRDefault="006F2884" w:rsidP="00D75942">
            <w:pPr>
              <w:jc w:val="right"/>
              <w:rPr>
                <w:rFonts w:asciiTheme="minorHAnsi" w:hAnsiTheme="minorHAnsi" w:cstheme="minorHAnsi"/>
                <w:color w:val="000000" w:themeColor="text1"/>
                <w:szCs w:val="20"/>
              </w:rPr>
            </w:pPr>
            <w:r w:rsidRPr="00D75942">
              <w:rPr>
                <w:color w:val="000000" w:themeColor="text1"/>
                <w:szCs w:val="20"/>
              </w:rPr>
              <w:t>(</w:t>
            </w:r>
            <w:r w:rsidR="00D75942" w:rsidRPr="00D75942">
              <w:rPr>
                <w:color w:val="000000" w:themeColor="text1"/>
                <w:szCs w:val="20"/>
              </w:rPr>
              <w:t>636</w:t>
            </w:r>
            <w:r w:rsidRPr="00D75942">
              <w:rPr>
                <w:color w:val="000000" w:themeColor="text1"/>
                <w:szCs w:val="20"/>
              </w:rPr>
              <w:t>)</w:t>
            </w:r>
          </w:p>
        </w:tc>
        <w:tc>
          <w:tcPr>
            <w:tcW w:w="1069" w:type="pct"/>
            <w:tcBorders>
              <w:top w:val="single" w:sz="4" w:space="0" w:color="auto"/>
            </w:tcBorders>
            <w:vAlign w:val="bottom"/>
          </w:tcPr>
          <w:p w14:paraId="4818D1F8" w14:textId="31F897BA"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(73)</w:t>
            </w:r>
          </w:p>
        </w:tc>
      </w:tr>
      <w:tr w:rsidR="006F2884" w:rsidRPr="003F3EBD" w14:paraId="36181695" w14:textId="77777777" w:rsidTr="00FD3C37">
        <w:trPr>
          <w:trHeight w:val="255"/>
        </w:trPr>
        <w:tc>
          <w:tcPr>
            <w:tcW w:w="2862" w:type="pct"/>
            <w:noWrap/>
            <w:vAlign w:val="bottom"/>
          </w:tcPr>
          <w:p w14:paraId="4520F7CC" w14:textId="622A1ACE"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Амортизація</w:t>
            </w:r>
          </w:p>
        </w:tc>
        <w:tc>
          <w:tcPr>
            <w:tcW w:w="1069" w:type="pct"/>
            <w:vAlign w:val="bottom"/>
          </w:tcPr>
          <w:p w14:paraId="1CCF3616" w14:textId="21BE1B00" w:rsidR="006F2884" w:rsidRPr="00D75942" w:rsidRDefault="006F2884" w:rsidP="003B6322">
            <w:pPr>
              <w:jc w:val="right"/>
              <w:rPr>
                <w:rFonts w:asciiTheme="minorHAnsi" w:hAnsiTheme="minorHAnsi" w:cstheme="minorHAnsi"/>
                <w:color w:val="000000" w:themeColor="text1"/>
                <w:szCs w:val="20"/>
              </w:rPr>
            </w:pPr>
            <w:r w:rsidRPr="00D75942">
              <w:rPr>
                <w:color w:val="000000" w:themeColor="text1"/>
                <w:szCs w:val="20"/>
              </w:rPr>
              <w:t>(</w:t>
            </w:r>
            <w:r w:rsidR="00D75942" w:rsidRPr="00D75942">
              <w:rPr>
                <w:color w:val="000000" w:themeColor="text1"/>
                <w:szCs w:val="20"/>
              </w:rPr>
              <w:t>5 55</w:t>
            </w:r>
            <w:r w:rsidR="003B6322">
              <w:rPr>
                <w:color w:val="000000" w:themeColor="text1"/>
                <w:szCs w:val="20"/>
              </w:rPr>
              <w:t>9</w:t>
            </w:r>
            <w:r w:rsidRPr="00D75942">
              <w:rPr>
                <w:color w:val="000000" w:themeColor="text1"/>
                <w:szCs w:val="20"/>
              </w:rPr>
              <w:t>)</w:t>
            </w:r>
          </w:p>
        </w:tc>
        <w:tc>
          <w:tcPr>
            <w:tcW w:w="1069" w:type="pct"/>
            <w:vAlign w:val="bottom"/>
          </w:tcPr>
          <w:p w14:paraId="545AAFD3" w14:textId="6E4431A1"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(4 042)</w:t>
            </w:r>
          </w:p>
        </w:tc>
      </w:tr>
      <w:tr w:rsidR="006F2884" w:rsidRPr="003F3EBD" w14:paraId="4A51E52D" w14:textId="77777777" w:rsidTr="00FD3C37">
        <w:trPr>
          <w:trHeight w:val="255"/>
        </w:trPr>
        <w:tc>
          <w:tcPr>
            <w:tcW w:w="2862" w:type="pct"/>
            <w:noWrap/>
            <w:vAlign w:val="bottom"/>
          </w:tcPr>
          <w:p w14:paraId="55271F4E" w14:textId="49D2B16F"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Заробітна плата</w:t>
            </w:r>
          </w:p>
        </w:tc>
        <w:tc>
          <w:tcPr>
            <w:tcW w:w="1069" w:type="pct"/>
            <w:vAlign w:val="bottom"/>
          </w:tcPr>
          <w:p w14:paraId="58E8D09F" w14:textId="0BACC60B" w:rsidR="006F2884" w:rsidRPr="00A5387B" w:rsidRDefault="006F2884" w:rsidP="00D75942">
            <w:pPr>
              <w:jc w:val="right"/>
              <w:rPr>
                <w:rFonts w:asciiTheme="minorHAnsi" w:hAnsiTheme="minorHAnsi" w:cstheme="minorHAnsi"/>
                <w:color w:val="000000" w:themeColor="text1"/>
                <w:szCs w:val="20"/>
              </w:rPr>
            </w:pPr>
            <w:r w:rsidRPr="00A5387B">
              <w:rPr>
                <w:color w:val="000000" w:themeColor="text1"/>
                <w:szCs w:val="20"/>
              </w:rPr>
              <w:t>(2</w:t>
            </w:r>
            <w:r w:rsidR="00D75942" w:rsidRPr="00A5387B">
              <w:rPr>
                <w:color w:val="000000" w:themeColor="text1"/>
                <w:szCs w:val="20"/>
              </w:rPr>
              <w:t>8</w:t>
            </w:r>
            <w:r w:rsidRPr="00A5387B">
              <w:rPr>
                <w:color w:val="000000" w:themeColor="text1"/>
                <w:szCs w:val="20"/>
              </w:rPr>
              <w:t xml:space="preserve"> </w:t>
            </w:r>
            <w:r w:rsidR="00D75942" w:rsidRPr="00A5387B">
              <w:rPr>
                <w:color w:val="000000" w:themeColor="text1"/>
                <w:szCs w:val="20"/>
              </w:rPr>
              <w:t>105</w:t>
            </w:r>
            <w:r w:rsidRPr="00A5387B">
              <w:rPr>
                <w:color w:val="000000" w:themeColor="text1"/>
                <w:szCs w:val="20"/>
              </w:rPr>
              <w:t>)</w:t>
            </w:r>
          </w:p>
        </w:tc>
        <w:tc>
          <w:tcPr>
            <w:tcW w:w="1069" w:type="pct"/>
            <w:vAlign w:val="bottom"/>
          </w:tcPr>
          <w:p w14:paraId="76984311" w14:textId="438F9545"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(29 063)</w:t>
            </w:r>
          </w:p>
        </w:tc>
      </w:tr>
      <w:tr w:rsidR="006F2884" w:rsidRPr="003F3EBD" w14:paraId="32555B25" w14:textId="77777777" w:rsidTr="00FD3C37">
        <w:trPr>
          <w:trHeight w:val="255"/>
        </w:trPr>
        <w:tc>
          <w:tcPr>
            <w:tcW w:w="2862" w:type="pct"/>
            <w:noWrap/>
            <w:vAlign w:val="bottom"/>
          </w:tcPr>
          <w:p w14:paraId="72FF043E" w14:textId="198AF498"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Матеріали</w:t>
            </w:r>
          </w:p>
        </w:tc>
        <w:tc>
          <w:tcPr>
            <w:tcW w:w="1069" w:type="pct"/>
            <w:vAlign w:val="bottom"/>
          </w:tcPr>
          <w:p w14:paraId="3C52C53F" w14:textId="6706CDF8" w:rsidR="006F2884" w:rsidRPr="006F2884" w:rsidRDefault="006F2884" w:rsidP="00AF4A15">
            <w:pPr>
              <w:jc w:val="right"/>
              <w:rPr>
                <w:rFonts w:asciiTheme="minorHAnsi" w:hAnsiTheme="minorHAnsi" w:cstheme="minorHAnsi"/>
                <w:color w:val="000000" w:themeColor="text1"/>
                <w:szCs w:val="20"/>
                <w:highlight w:val="yellow"/>
              </w:rPr>
            </w:pPr>
            <w:r w:rsidRPr="00AF4A15">
              <w:rPr>
                <w:color w:val="000000" w:themeColor="text1"/>
                <w:szCs w:val="20"/>
              </w:rPr>
              <w:t>(</w:t>
            </w:r>
            <w:r w:rsidR="00AF4A15" w:rsidRPr="00AF4A15">
              <w:rPr>
                <w:color w:val="000000" w:themeColor="text1"/>
                <w:szCs w:val="20"/>
              </w:rPr>
              <w:t>7 230</w:t>
            </w:r>
            <w:r w:rsidRPr="00AF4A15">
              <w:rPr>
                <w:color w:val="000000" w:themeColor="text1"/>
                <w:szCs w:val="20"/>
              </w:rPr>
              <w:t>)</w:t>
            </w:r>
          </w:p>
        </w:tc>
        <w:tc>
          <w:tcPr>
            <w:tcW w:w="1069" w:type="pct"/>
            <w:vAlign w:val="bottom"/>
          </w:tcPr>
          <w:p w14:paraId="4E65CC24" w14:textId="18DE20F6"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(11 845)</w:t>
            </w:r>
          </w:p>
        </w:tc>
      </w:tr>
      <w:tr w:rsidR="006F2884" w:rsidRPr="003F3EBD" w14:paraId="7E5A9BA8" w14:textId="77777777" w:rsidTr="00FD3C37">
        <w:trPr>
          <w:trHeight w:val="255"/>
        </w:trPr>
        <w:tc>
          <w:tcPr>
            <w:tcW w:w="2862" w:type="pct"/>
            <w:noWrap/>
            <w:vAlign w:val="bottom"/>
          </w:tcPr>
          <w:p w14:paraId="0F965AA9" w14:textId="6D4D19D9"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 xml:space="preserve">Соціальне страхування </w:t>
            </w:r>
          </w:p>
        </w:tc>
        <w:tc>
          <w:tcPr>
            <w:tcW w:w="1069" w:type="pct"/>
            <w:vAlign w:val="bottom"/>
          </w:tcPr>
          <w:p w14:paraId="1620AC0F" w14:textId="478CF7B4" w:rsidR="006F2884" w:rsidRPr="006F2884" w:rsidRDefault="006F2884" w:rsidP="0031777D">
            <w:pPr>
              <w:jc w:val="right"/>
              <w:rPr>
                <w:rFonts w:asciiTheme="minorHAnsi" w:hAnsiTheme="minorHAnsi" w:cstheme="minorHAnsi"/>
                <w:color w:val="000000" w:themeColor="text1"/>
                <w:szCs w:val="20"/>
                <w:highlight w:val="yellow"/>
              </w:rPr>
            </w:pPr>
            <w:r w:rsidRPr="0031777D">
              <w:rPr>
                <w:color w:val="000000" w:themeColor="text1"/>
                <w:szCs w:val="20"/>
              </w:rPr>
              <w:t>(7 6</w:t>
            </w:r>
            <w:r w:rsidR="0031777D" w:rsidRPr="0031777D">
              <w:rPr>
                <w:color w:val="000000" w:themeColor="text1"/>
                <w:szCs w:val="20"/>
              </w:rPr>
              <w:t>24</w:t>
            </w:r>
            <w:r w:rsidRPr="0031777D">
              <w:rPr>
                <w:color w:val="000000" w:themeColor="text1"/>
                <w:szCs w:val="20"/>
              </w:rPr>
              <w:t>)</w:t>
            </w:r>
          </w:p>
        </w:tc>
        <w:tc>
          <w:tcPr>
            <w:tcW w:w="1069" w:type="pct"/>
            <w:vAlign w:val="bottom"/>
          </w:tcPr>
          <w:p w14:paraId="7E758ACB" w14:textId="3B1725D5"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(7 694)</w:t>
            </w:r>
          </w:p>
        </w:tc>
      </w:tr>
      <w:tr w:rsidR="006F2884" w:rsidRPr="003F3EBD" w14:paraId="488DDD45" w14:textId="77777777" w:rsidTr="00FD3C37">
        <w:trPr>
          <w:trHeight w:val="255"/>
        </w:trPr>
        <w:tc>
          <w:tcPr>
            <w:tcW w:w="2862" w:type="pct"/>
            <w:noWrap/>
            <w:vAlign w:val="bottom"/>
          </w:tcPr>
          <w:p w14:paraId="177CBF1A" w14:textId="20F2BCCE"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 xml:space="preserve">Сумнівні та безнадійні борги </w:t>
            </w:r>
          </w:p>
        </w:tc>
        <w:tc>
          <w:tcPr>
            <w:tcW w:w="1069" w:type="pct"/>
            <w:vAlign w:val="bottom"/>
          </w:tcPr>
          <w:p w14:paraId="27BC098F" w14:textId="232DFCE9" w:rsidR="006F2884" w:rsidRPr="006F2884" w:rsidRDefault="006F2884" w:rsidP="00BA7B30">
            <w:pPr>
              <w:jc w:val="right"/>
              <w:rPr>
                <w:rFonts w:asciiTheme="minorHAnsi" w:hAnsiTheme="minorHAnsi" w:cstheme="minorHAnsi"/>
                <w:color w:val="000000" w:themeColor="text1"/>
                <w:szCs w:val="20"/>
                <w:highlight w:val="yellow"/>
              </w:rPr>
            </w:pPr>
            <w:r w:rsidRPr="00BA7B30">
              <w:rPr>
                <w:color w:val="000000" w:themeColor="text1"/>
                <w:szCs w:val="20"/>
              </w:rPr>
              <w:t>(16</w:t>
            </w:r>
            <w:r w:rsidR="00BA7B30" w:rsidRPr="00BA7B30">
              <w:rPr>
                <w:color w:val="000000" w:themeColor="text1"/>
                <w:szCs w:val="20"/>
              </w:rPr>
              <w:t>8</w:t>
            </w:r>
            <w:r w:rsidRPr="00BA7B30">
              <w:rPr>
                <w:color w:val="000000" w:themeColor="text1"/>
                <w:szCs w:val="20"/>
              </w:rPr>
              <w:t xml:space="preserve"> </w:t>
            </w:r>
            <w:r w:rsidR="00BA7B30" w:rsidRPr="00BA7B30">
              <w:rPr>
                <w:color w:val="000000" w:themeColor="text1"/>
                <w:szCs w:val="20"/>
              </w:rPr>
              <w:t>092</w:t>
            </w:r>
            <w:r w:rsidRPr="00BA7B30">
              <w:rPr>
                <w:color w:val="000000" w:themeColor="text1"/>
                <w:szCs w:val="20"/>
              </w:rPr>
              <w:t>)</w:t>
            </w:r>
          </w:p>
        </w:tc>
        <w:tc>
          <w:tcPr>
            <w:tcW w:w="1069" w:type="pct"/>
            <w:vAlign w:val="bottom"/>
          </w:tcPr>
          <w:p w14:paraId="73C786DE" w14:textId="347026E6"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(161 419)</w:t>
            </w:r>
          </w:p>
        </w:tc>
      </w:tr>
      <w:tr w:rsidR="006F2884" w:rsidRPr="003F3EBD" w14:paraId="09464D7F" w14:textId="77777777" w:rsidTr="00FD3C37">
        <w:trPr>
          <w:trHeight w:val="255"/>
        </w:trPr>
        <w:tc>
          <w:tcPr>
            <w:tcW w:w="2862" w:type="pct"/>
            <w:noWrap/>
            <w:vAlign w:val="bottom"/>
          </w:tcPr>
          <w:p w14:paraId="42251580" w14:textId="1169B661"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Збиток від курсових різниць</w:t>
            </w:r>
          </w:p>
        </w:tc>
        <w:tc>
          <w:tcPr>
            <w:tcW w:w="1069" w:type="pct"/>
            <w:vAlign w:val="bottom"/>
          </w:tcPr>
          <w:p w14:paraId="23B6A3A6" w14:textId="316E84F2" w:rsidR="006F2884" w:rsidRPr="00915766" w:rsidRDefault="00F15C08" w:rsidP="003B6322">
            <w:pPr>
              <w:jc w:val="right"/>
              <w:rPr>
                <w:rFonts w:asciiTheme="minorHAnsi" w:hAnsiTheme="minorHAnsi" w:cstheme="minorHAnsi"/>
                <w:color w:val="000000" w:themeColor="text1"/>
                <w:szCs w:val="20"/>
              </w:rPr>
            </w:pPr>
            <w:r>
              <w:rPr>
                <w:color w:val="000000" w:themeColor="text1"/>
                <w:szCs w:val="20"/>
              </w:rPr>
              <w:t>(6 17</w:t>
            </w:r>
            <w:r w:rsidR="003B6322">
              <w:rPr>
                <w:color w:val="000000" w:themeColor="text1"/>
                <w:szCs w:val="20"/>
              </w:rPr>
              <w:t>7</w:t>
            </w:r>
            <w:r>
              <w:rPr>
                <w:color w:val="000000" w:themeColor="text1"/>
                <w:szCs w:val="20"/>
              </w:rPr>
              <w:t>)</w:t>
            </w:r>
          </w:p>
        </w:tc>
        <w:tc>
          <w:tcPr>
            <w:tcW w:w="1069" w:type="pct"/>
            <w:vAlign w:val="bottom"/>
          </w:tcPr>
          <w:p w14:paraId="30B0CA1B" w14:textId="518B6418"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w:t>
            </w:r>
          </w:p>
        </w:tc>
      </w:tr>
      <w:tr w:rsidR="006F2884" w:rsidRPr="003F3EBD" w14:paraId="60BDE779" w14:textId="77777777" w:rsidTr="00FD3C37">
        <w:trPr>
          <w:trHeight w:val="255"/>
        </w:trPr>
        <w:tc>
          <w:tcPr>
            <w:tcW w:w="2862" w:type="pct"/>
            <w:noWrap/>
            <w:vAlign w:val="bottom"/>
          </w:tcPr>
          <w:p w14:paraId="6C282562" w14:textId="1F865E9D"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Списання необоротних активів</w:t>
            </w:r>
          </w:p>
        </w:tc>
        <w:tc>
          <w:tcPr>
            <w:tcW w:w="1069" w:type="pct"/>
            <w:vAlign w:val="bottom"/>
          </w:tcPr>
          <w:p w14:paraId="5B2F08D3" w14:textId="18DAF3F6" w:rsidR="006F2884" w:rsidRPr="00915766" w:rsidRDefault="00915766" w:rsidP="006F2884">
            <w:pPr>
              <w:jc w:val="right"/>
              <w:rPr>
                <w:rFonts w:asciiTheme="minorHAnsi" w:hAnsiTheme="minorHAnsi" w:cstheme="minorHAnsi"/>
                <w:color w:val="000000" w:themeColor="text1"/>
                <w:szCs w:val="20"/>
              </w:rPr>
            </w:pPr>
            <w:r w:rsidRPr="00915766">
              <w:rPr>
                <w:color w:val="000000" w:themeColor="text1"/>
                <w:szCs w:val="20"/>
              </w:rPr>
              <w:t>-</w:t>
            </w:r>
          </w:p>
        </w:tc>
        <w:tc>
          <w:tcPr>
            <w:tcW w:w="1069" w:type="pct"/>
            <w:vAlign w:val="bottom"/>
          </w:tcPr>
          <w:p w14:paraId="367279F8" w14:textId="6B8BBED6"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(1)</w:t>
            </w:r>
          </w:p>
        </w:tc>
      </w:tr>
      <w:tr w:rsidR="006F2884" w:rsidRPr="003F3EBD" w14:paraId="3834801B" w14:textId="77777777" w:rsidTr="00FD3C37">
        <w:trPr>
          <w:trHeight w:val="255"/>
        </w:trPr>
        <w:tc>
          <w:tcPr>
            <w:tcW w:w="2862" w:type="pct"/>
            <w:noWrap/>
            <w:vAlign w:val="bottom"/>
          </w:tcPr>
          <w:p w14:paraId="5D70D9FE" w14:textId="00E8696E"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Втрати від знецінення запасів</w:t>
            </w:r>
          </w:p>
        </w:tc>
        <w:tc>
          <w:tcPr>
            <w:tcW w:w="1069" w:type="pct"/>
            <w:vAlign w:val="bottom"/>
          </w:tcPr>
          <w:p w14:paraId="4D67CDDF" w14:textId="6D1588E6" w:rsidR="006F2884" w:rsidRPr="00D83FC1" w:rsidRDefault="006F2884" w:rsidP="00D83FC1">
            <w:pPr>
              <w:jc w:val="right"/>
              <w:rPr>
                <w:rFonts w:asciiTheme="minorHAnsi" w:hAnsiTheme="minorHAnsi" w:cstheme="minorHAnsi"/>
                <w:color w:val="000000" w:themeColor="text1"/>
                <w:szCs w:val="20"/>
              </w:rPr>
            </w:pPr>
            <w:r w:rsidRPr="00D83FC1">
              <w:rPr>
                <w:color w:val="000000" w:themeColor="text1"/>
                <w:szCs w:val="20"/>
              </w:rPr>
              <w:t xml:space="preserve">(5 </w:t>
            </w:r>
            <w:r w:rsidR="00D83FC1" w:rsidRPr="00D83FC1">
              <w:rPr>
                <w:color w:val="000000" w:themeColor="text1"/>
                <w:szCs w:val="20"/>
              </w:rPr>
              <w:t>122</w:t>
            </w:r>
            <w:r w:rsidRPr="00D83FC1">
              <w:rPr>
                <w:color w:val="000000" w:themeColor="text1"/>
                <w:szCs w:val="20"/>
              </w:rPr>
              <w:t>)</w:t>
            </w:r>
          </w:p>
        </w:tc>
        <w:tc>
          <w:tcPr>
            <w:tcW w:w="1069" w:type="pct"/>
            <w:vAlign w:val="bottom"/>
          </w:tcPr>
          <w:p w14:paraId="2251D3BB" w14:textId="09876B7E"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(5 434)</w:t>
            </w:r>
          </w:p>
        </w:tc>
      </w:tr>
      <w:tr w:rsidR="006F2884" w:rsidRPr="003F3EBD" w14:paraId="7326363B" w14:textId="77777777" w:rsidTr="00FD3C37">
        <w:trPr>
          <w:trHeight w:val="255"/>
        </w:trPr>
        <w:tc>
          <w:tcPr>
            <w:tcW w:w="2862" w:type="pct"/>
            <w:noWrap/>
            <w:vAlign w:val="bottom"/>
          </w:tcPr>
          <w:p w14:paraId="3E880361" w14:textId="6F0143B8"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Нестачі та псування</w:t>
            </w:r>
          </w:p>
        </w:tc>
        <w:tc>
          <w:tcPr>
            <w:tcW w:w="1069" w:type="pct"/>
            <w:vAlign w:val="bottom"/>
          </w:tcPr>
          <w:p w14:paraId="02F674D6" w14:textId="12767B52" w:rsidR="006F2884" w:rsidRPr="00D83FC1" w:rsidRDefault="006F2884" w:rsidP="00D83FC1">
            <w:pPr>
              <w:jc w:val="right"/>
              <w:rPr>
                <w:rFonts w:asciiTheme="minorHAnsi" w:hAnsiTheme="minorHAnsi" w:cstheme="minorHAnsi"/>
                <w:color w:val="000000" w:themeColor="text1"/>
                <w:szCs w:val="20"/>
              </w:rPr>
            </w:pPr>
            <w:r w:rsidRPr="00D83FC1">
              <w:rPr>
                <w:color w:val="000000" w:themeColor="text1"/>
                <w:szCs w:val="20"/>
              </w:rPr>
              <w:t>(</w:t>
            </w:r>
            <w:r w:rsidR="00D83FC1" w:rsidRPr="00D83FC1">
              <w:rPr>
                <w:color w:val="000000" w:themeColor="text1"/>
                <w:szCs w:val="20"/>
              </w:rPr>
              <w:t>790</w:t>
            </w:r>
            <w:r w:rsidRPr="00D83FC1">
              <w:rPr>
                <w:color w:val="000000" w:themeColor="text1"/>
                <w:szCs w:val="20"/>
              </w:rPr>
              <w:t>)</w:t>
            </w:r>
          </w:p>
        </w:tc>
        <w:tc>
          <w:tcPr>
            <w:tcW w:w="1069" w:type="pct"/>
            <w:vAlign w:val="bottom"/>
          </w:tcPr>
          <w:p w14:paraId="43ECEBFE" w14:textId="6F479532"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(12 951)</w:t>
            </w:r>
          </w:p>
        </w:tc>
      </w:tr>
      <w:tr w:rsidR="006F2884" w:rsidRPr="003F3EBD" w14:paraId="691AD5C7" w14:textId="77777777" w:rsidTr="00FD3C37">
        <w:trPr>
          <w:trHeight w:val="255"/>
        </w:trPr>
        <w:tc>
          <w:tcPr>
            <w:tcW w:w="2862" w:type="pct"/>
            <w:noWrap/>
            <w:vAlign w:val="bottom"/>
          </w:tcPr>
          <w:p w14:paraId="75127D6E" w14:textId="0D3E97B8"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Благодійна допомога</w:t>
            </w:r>
          </w:p>
        </w:tc>
        <w:tc>
          <w:tcPr>
            <w:tcW w:w="1069" w:type="pct"/>
            <w:vAlign w:val="bottom"/>
          </w:tcPr>
          <w:p w14:paraId="6162D979" w14:textId="6EC3FA52" w:rsidR="006F2884" w:rsidRPr="006F2884" w:rsidRDefault="006F2884" w:rsidP="00F15C08">
            <w:pPr>
              <w:jc w:val="right"/>
              <w:rPr>
                <w:rFonts w:asciiTheme="minorHAnsi" w:hAnsiTheme="minorHAnsi" w:cstheme="minorHAnsi"/>
                <w:color w:val="000000" w:themeColor="text1"/>
                <w:szCs w:val="20"/>
                <w:highlight w:val="yellow"/>
              </w:rPr>
            </w:pPr>
            <w:r w:rsidRPr="00F15C08">
              <w:rPr>
                <w:color w:val="000000" w:themeColor="text1"/>
                <w:szCs w:val="20"/>
              </w:rPr>
              <w:t>(</w:t>
            </w:r>
            <w:r w:rsidR="00F15C08" w:rsidRPr="00F15C08">
              <w:rPr>
                <w:color w:val="000000" w:themeColor="text1"/>
                <w:szCs w:val="20"/>
              </w:rPr>
              <w:t>4 396</w:t>
            </w:r>
            <w:r w:rsidRPr="00F15C08">
              <w:rPr>
                <w:color w:val="000000" w:themeColor="text1"/>
                <w:szCs w:val="20"/>
              </w:rPr>
              <w:t>)</w:t>
            </w:r>
          </w:p>
        </w:tc>
        <w:tc>
          <w:tcPr>
            <w:tcW w:w="1069" w:type="pct"/>
            <w:vAlign w:val="bottom"/>
          </w:tcPr>
          <w:p w14:paraId="283DE22E" w14:textId="5EAC73F2"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(5 124)</w:t>
            </w:r>
          </w:p>
        </w:tc>
      </w:tr>
      <w:tr w:rsidR="006F2884" w:rsidRPr="003F3EBD" w14:paraId="5740B428" w14:textId="77777777" w:rsidTr="00FD3C37">
        <w:trPr>
          <w:trHeight w:val="255"/>
        </w:trPr>
        <w:tc>
          <w:tcPr>
            <w:tcW w:w="2862" w:type="pct"/>
            <w:noWrap/>
            <w:vAlign w:val="bottom"/>
          </w:tcPr>
          <w:p w14:paraId="45880FAE" w14:textId="39D1E089"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Штрафи</w:t>
            </w:r>
          </w:p>
        </w:tc>
        <w:tc>
          <w:tcPr>
            <w:tcW w:w="1069" w:type="pct"/>
            <w:vAlign w:val="bottom"/>
          </w:tcPr>
          <w:p w14:paraId="0FCE5EA1" w14:textId="4D821D28" w:rsidR="006F2884" w:rsidRPr="00F15C08" w:rsidRDefault="00F15C08" w:rsidP="006F2884">
            <w:pPr>
              <w:jc w:val="right"/>
              <w:rPr>
                <w:rFonts w:asciiTheme="minorHAnsi" w:hAnsiTheme="minorHAnsi" w:cstheme="minorHAnsi"/>
                <w:color w:val="000000" w:themeColor="text1"/>
                <w:szCs w:val="20"/>
              </w:rPr>
            </w:pPr>
            <w:r w:rsidRPr="00F15C08">
              <w:rPr>
                <w:color w:val="000000" w:themeColor="text1"/>
                <w:szCs w:val="20"/>
              </w:rPr>
              <w:t>-</w:t>
            </w:r>
          </w:p>
        </w:tc>
        <w:tc>
          <w:tcPr>
            <w:tcW w:w="1069" w:type="pct"/>
            <w:vAlign w:val="bottom"/>
          </w:tcPr>
          <w:p w14:paraId="7B1106D9" w14:textId="3D934422"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(319)</w:t>
            </w:r>
          </w:p>
        </w:tc>
      </w:tr>
      <w:tr w:rsidR="006F2884" w:rsidRPr="003F3EBD" w14:paraId="3D8285A4" w14:textId="77777777" w:rsidTr="00FD3C37">
        <w:trPr>
          <w:trHeight w:val="255"/>
        </w:trPr>
        <w:tc>
          <w:tcPr>
            <w:tcW w:w="2862" w:type="pct"/>
            <w:noWrap/>
            <w:vAlign w:val="bottom"/>
          </w:tcPr>
          <w:p w14:paraId="6C19EAAB" w14:textId="637CE7B6"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Оренда</w:t>
            </w:r>
          </w:p>
        </w:tc>
        <w:tc>
          <w:tcPr>
            <w:tcW w:w="1069" w:type="pct"/>
            <w:vAlign w:val="bottom"/>
          </w:tcPr>
          <w:p w14:paraId="394C9C41" w14:textId="6C18481E" w:rsidR="006F2884" w:rsidRPr="00F15C08" w:rsidRDefault="006F2884" w:rsidP="00F15C08">
            <w:pPr>
              <w:jc w:val="right"/>
              <w:rPr>
                <w:rFonts w:asciiTheme="minorHAnsi" w:hAnsiTheme="minorHAnsi" w:cstheme="minorHAnsi"/>
                <w:color w:val="000000" w:themeColor="text1"/>
                <w:szCs w:val="20"/>
              </w:rPr>
            </w:pPr>
            <w:r w:rsidRPr="00F15C08">
              <w:rPr>
                <w:color w:val="000000" w:themeColor="text1"/>
                <w:szCs w:val="20"/>
              </w:rPr>
              <w:t>(</w:t>
            </w:r>
            <w:r w:rsidR="00F15C08" w:rsidRPr="00F15C08">
              <w:rPr>
                <w:color w:val="000000" w:themeColor="text1"/>
                <w:szCs w:val="20"/>
              </w:rPr>
              <w:t>1</w:t>
            </w:r>
            <w:r w:rsidRPr="00F15C08">
              <w:rPr>
                <w:color w:val="000000" w:themeColor="text1"/>
                <w:szCs w:val="20"/>
              </w:rPr>
              <w:t>)</w:t>
            </w:r>
          </w:p>
        </w:tc>
        <w:tc>
          <w:tcPr>
            <w:tcW w:w="1069" w:type="pct"/>
            <w:vAlign w:val="bottom"/>
          </w:tcPr>
          <w:p w14:paraId="4B134673" w14:textId="68BE12F2"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(249)</w:t>
            </w:r>
          </w:p>
        </w:tc>
      </w:tr>
      <w:tr w:rsidR="006F2884" w:rsidRPr="003F3EBD" w14:paraId="31E71769" w14:textId="77777777" w:rsidTr="00FD3C37">
        <w:trPr>
          <w:trHeight w:val="255"/>
        </w:trPr>
        <w:tc>
          <w:tcPr>
            <w:tcW w:w="2862" w:type="pct"/>
            <w:tcBorders>
              <w:bottom w:val="single" w:sz="4" w:space="0" w:color="auto"/>
            </w:tcBorders>
            <w:noWrap/>
            <w:vAlign w:val="bottom"/>
          </w:tcPr>
          <w:p w14:paraId="5E04E4C0" w14:textId="1DB85F9D" w:rsidR="006F2884" w:rsidRPr="003F3EBD" w:rsidRDefault="006F2884" w:rsidP="006F2884">
            <w:pPr>
              <w:jc w:val="left"/>
              <w:rPr>
                <w:rFonts w:asciiTheme="minorHAnsi" w:hAnsiTheme="minorHAnsi" w:cstheme="minorHAnsi"/>
                <w:color w:val="000000" w:themeColor="text1"/>
                <w:szCs w:val="20"/>
              </w:rPr>
            </w:pPr>
            <w:r w:rsidRPr="003F3EBD">
              <w:rPr>
                <w:color w:val="000000" w:themeColor="text1"/>
                <w:szCs w:val="20"/>
              </w:rPr>
              <w:t>Інші витрати</w:t>
            </w:r>
          </w:p>
        </w:tc>
        <w:tc>
          <w:tcPr>
            <w:tcW w:w="1069" w:type="pct"/>
            <w:tcBorders>
              <w:bottom w:val="single" w:sz="4" w:space="0" w:color="auto"/>
            </w:tcBorders>
            <w:vAlign w:val="bottom"/>
          </w:tcPr>
          <w:p w14:paraId="7CC886D8" w14:textId="005755DA" w:rsidR="006F2884" w:rsidRPr="00F15C08" w:rsidRDefault="006F2884" w:rsidP="00DE059B">
            <w:pPr>
              <w:jc w:val="right"/>
              <w:rPr>
                <w:rFonts w:asciiTheme="minorHAnsi" w:hAnsiTheme="minorHAnsi" w:cstheme="minorHAnsi"/>
                <w:color w:val="000000" w:themeColor="text1"/>
                <w:szCs w:val="20"/>
              </w:rPr>
            </w:pPr>
            <w:r w:rsidRPr="00F15C08">
              <w:rPr>
                <w:color w:val="000000" w:themeColor="text1"/>
                <w:szCs w:val="20"/>
              </w:rPr>
              <w:t>(</w:t>
            </w:r>
            <w:r w:rsidR="00EA1F03">
              <w:rPr>
                <w:color w:val="000000" w:themeColor="text1"/>
                <w:szCs w:val="20"/>
              </w:rPr>
              <w:t xml:space="preserve">30 </w:t>
            </w:r>
            <w:r w:rsidR="00DE059B">
              <w:rPr>
                <w:color w:val="000000" w:themeColor="text1"/>
                <w:szCs w:val="20"/>
              </w:rPr>
              <w:t>919</w:t>
            </w:r>
            <w:r w:rsidRPr="00F15C08">
              <w:rPr>
                <w:color w:val="000000" w:themeColor="text1"/>
                <w:szCs w:val="20"/>
              </w:rPr>
              <w:t>)</w:t>
            </w:r>
          </w:p>
        </w:tc>
        <w:tc>
          <w:tcPr>
            <w:tcW w:w="1069" w:type="pct"/>
            <w:tcBorders>
              <w:bottom w:val="single" w:sz="4" w:space="0" w:color="auto"/>
            </w:tcBorders>
            <w:vAlign w:val="bottom"/>
          </w:tcPr>
          <w:p w14:paraId="33E9F84B" w14:textId="4625B9A7" w:rsidR="006F2884" w:rsidRPr="003F3EBD" w:rsidRDefault="006F2884" w:rsidP="006F2884">
            <w:pPr>
              <w:jc w:val="right"/>
              <w:rPr>
                <w:rFonts w:asciiTheme="minorHAnsi" w:hAnsiTheme="minorHAnsi" w:cstheme="minorHAnsi"/>
                <w:color w:val="000000" w:themeColor="text1"/>
                <w:szCs w:val="20"/>
              </w:rPr>
            </w:pPr>
            <w:r>
              <w:rPr>
                <w:color w:val="000000" w:themeColor="text1"/>
                <w:szCs w:val="20"/>
              </w:rPr>
              <w:t>(32 279</w:t>
            </w:r>
            <w:r w:rsidRPr="003F3EBD">
              <w:rPr>
                <w:color w:val="000000" w:themeColor="text1"/>
                <w:szCs w:val="20"/>
              </w:rPr>
              <w:t>)</w:t>
            </w:r>
          </w:p>
        </w:tc>
      </w:tr>
      <w:tr w:rsidR="006F2884" w:rsidRPr="003F3EBD" w14:paraId="3139C10F" w14:textId="77777777" w:rsidTr="00FD3C37">
        <w:trPr>
          <w:trHeight w:val="255"/>
        </w:trPr>
        <w:tc>
          <w:tcPr>
            <w:tcW w:w="2862" w:type="pct"/>
            <w:tcBorders>
              <w:top w:val="single" w:sz="4" w:space="0" w:color="auto"/>
            </w:tcBorders>
            <w:noWrap/>
            <w:vAlign w:val="bottom"/>
          </w:tcPr>
          <w:p w14:paraId="0979D989" w14:textId="2E0A2DE8" w:rsidR="006F2884" w:rsidRPr="003F3EBD" w:rsidRDefault="006F2884" w:rsidP="006F2884">
            <w:pPr>
              <w:jc w:val="left"/>
              <w:rPr>
                <w:rFonts w:asciiTheme="minorHAnsi" w:hAnsiTheme="minorHAnsi" w:cstheme="minorHAnsi"/>
                <w:b/>
                <w:bCs/>
                <w:color w:val="000000" w:themeColor="text1"/>
                <w:szCs w:val="20"/>
              </w:rPr>
            </w:pPr>
            <w:r w:rsidRPr="003F3EBD">
              <w:rPr>
                <w:b/>
                <w:bCs/>
                <w:color w:val="000000" w:themeColor="text1"/>
                <w:szCs w:val="20"/>
              </w:rPr>
              <w:t>Разом:</w:t>
            </w:r>
          </w:p>
        </w:tc>
        <w:tc>
          <w:tcPr>
            <w:tcW w:w="1069" w:type="pct"/>
            <w:tcBorders>
              <w:top w:val="single" w:sz="4" w:space="0" w:color="auto"/>
            </w:tcBorders>
            <w:vAlign w:val="bottom"/>
          </w:tcPr>
          <w:p w14:paraId="229B0DB3" w14:textId="0CE13E43" w:rsidR="006F2884" w:rsidRPr="00427097" w:rsidRDefault="006F2884" w:rsidP="00F15C08">
            <w:pPr>
              <w:jc w:val="right"/>
              <w:rPr>
                <w:rFonts w:asciiTheme="minorHAnsi" w:hAnsiTheme="minorHAnsi" w:cstheme="minorHAnsi"/>
                <w:b/>
                <w:bCs/>
                <w:color w:val="000000" w:themeColor="text1"/>
                <w:szCs w:val="20"/>
                <w:lang w:val="ru-RU"/>
              </w:rPr>
            </w:pPr>
            <w:r w:rsidRPr="00427097">
              <w:rPr>
                <w:b/>
                <w:bCs/>
                <w:color w:val="000000" w:themeColor="text1"/>
                <w:szCs w:val="20"/>
              </w:rPr>
              <w:t>(</w:t>
            </w:r>
            <w:r w:rsidR="00EA1F03" w:rsidRPr="00427097">
              <w:rPr>
                <w:b/>
                <w:bCs/>
                <w:color w:val="000000" w:themeColor="text1"/>
                <w:szCs w:val="20"/>
              </w:rPr>
              <w:t>264 651</w:t>
            </w:r>
            <w:r w:rsidRPr="00427097">
              <w:rPr>
                <w:b/>
                <w:bCs/>
                <w:color w:val="000000" w:themeColor="text1"/>
                <w:szCs w:val="20"/>
              </w:rPr>
              <w:t>)</w:t>
            </w:r>
          </w:p>
        </w:tc>
        <w:tc>
          <w:tcPr>
            <w:tcW w:w="1069" w:type="pct"/>
            <w:tcBorders>
              <w:top w:val="single" w:sz="4" w:space="0" w:color="auto"/>
            </w:tcBorders>
            <w:vAlign w:val="bottom"/>
          </w:tcPr>
          <w:p w14:paraId="316956F5" w14:textId="0DBFF219" w:rsidR="006F2884" w:rsidRPr="00427097" w:rsidRDefault="006F2884" w:rsidP="006F2884">
            <w:pPr>
              <w:jc w:val="right"/>
              <w:rPr>
                <w:rFonts w:asciiTheme="minorHAnsi" w:hAnsiTheme="minorHAnsi" w:cstheme="minorHAnsi"/>
                <w:b/>
                <w:bCs/>
                <w:color w:val="000000" w:themeColor="text1"/>
                <w:szCs w:val="20"/>
              </w:rPr>
            </w:pPr>
            <w:r w:rsidRPr="00427097">
              <w:rPr>
                <w:b/>
                <w:bCs/>
                <w:color w:val="000000" w:themeColor="text1"/>
                <w:szCs w:val="20"/>
              </w:rPr>
              <w:t>(270 493)</w:t>
            </w:r>
          </w:p>
        </w:tc>
      </w:tr>
    </w:tbl>
    <w:p w14:paraId="043FD365" w14:textId="4C3B9181" w:rsidR="00C22E57" w:rsidRPr="003F3EBD" w:rsidRDefault="00C22E57">
      <w:pPr>
        <w:rPr>
          <w:rFonts w:asciiTheme="minorHAnsi" w:hAnsiTheme="minorHAnsi" w:cstheme="minorHAnsi"/>
          <w:color w:val="FF0000"/>
          <w:szCs w:val="20"/>
        </w:rPr>
      </w:pPr>
    </w:p>
    <w:tbl>
      <w:tblPr>
        <w:tblW w:w="5001" w:type="pct"/>
        <w:tblLook w:val="00A0" w:firstRow="1" w:lastRow="0" w:firstColumn="1" w:lastColumn="0" w:noHBand="0" w:noVBand="0"/>
      </w:tblPr>
      <w:tblGrid>
        <w:gridCol w:w="5517"/>
        <w:gridCol w:w="2061"/>
        <w:gridCol w:w="2061"/>
      </w:tblGrid>
      <w:tr w:rsidR="00A22CC4" w:rsidRPr="00A22CC4" w14:paraId="7808304C" w14:textId="77777777" w:rsidTr="005F1608">
        <w:trPr>
          <w:cantSplit/>
          <w:trHeight w:val="510"/>
        </w:trPr>
        <w:tc>
          <w:tcPr>
            <w:tcW w:w="2862" w:type="pct"/>
            <w:tcBorders>
              <w:left w:val="nil"/>
              <w:bottom w:val="nil"/>
              <w:right w:val="nil"/>
            </w:tcBorders>
            <w:shd w:val="clear" w:color="000000" w:fill="FFFFFF"/>
            <w:noWrap/>
            <w:vAlign w:val="center"/>
          </w:tcPr>
          <w:p w14:paraId="33156083" w14:textId="66E409EF" w:rsidR="005F1608" w:rsidRPr="003F3EBD" w:rsidRDefault="005F1608" w:rsidP="005F1608">
            <w:pPr>
              <w:jc w:val="lef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7.5 Фінансові витрати</w:t>
            </w:r>
          </w:p>
        </w:tc>
        <w:tc>
          <w:tcPr>
            <w:tcW w:w="1069" w:type="pct"/>
            <w:tcBorders>
              <w:left w:val="nil"/>
              <w:bottom w:val="nil"/>
              <w:right w:val="nil"/>
            </w:tcBorders>
            <w:shd w:val="clear" w:color="000000" w:fill="FFFFFF"/>
            <w:vAlign w:val="center"/>
          </w:tcPr>
          <w:p w14:paraId="19FA5E2C" w14:textId="77777777" w:rsidR="005F1608" w:rsidRPr="003F3EBD" w:rsidRDefault="005F1608" w:rsidP="005F1608">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За рік, що</w:t>
            </w:r>
          </w:p>
          <w:p w14:paraId="34FB7A01" w14:textId="77777777" w:rsidR="005F1608" w:rsidRPr="003F3EBD" w:rsidRDefault="005F1608" w:rsidP="005F1608">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закінчився</w:t>
            </w:r>
          </w:p>
          <w:p w14:paraId="11D59EEC" w14:textId="1D166920" w:rsidR="005F1608" w:rsidRPr="003F3EBD" w:rsidRDefault="005F1608" w:rsidP="005D04E4">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31.12.20</w:t>
            </w:r>
            <w:r w:rsidR="005D04E4">
              <w:rPr>
                <w:rFonts w:asciiTheme="minorHAnsi" w:hAnsiTheme="minorHAnsi" w:cstheme="minorHAnsi"/>
                <w:b/>
                <w:color w:val="000000" w:themeColor="text1"/>
                <w:szCs w:val="20"/>
              </w:rPr>
              <w:t>20</w:t>
            </w:r>
          </w:p>
        </w:tc>
        <w:tc>
          <w:tcPr>
            <w:tcW w:w="1069" w:type="pct"/>
            <w:tcBorders>
              <w:left w:val="nil"/>
              <w:bottom w:val="nil"/>
              <w:right w:val="nil"/>
            </w:tcBorders>
            <w:shd w:val="clear" w:color="000000" w:fill="FFFFFF"/>
            <w:vAlign w:val="center"/>
          </w:tcPr>
          <w:p w14:paraId="53F85A05" w14:textId="77777777" w:rsidR="005F1608" w:rsidRPr="003F3EBD" w:rsidRDefault="005F1608" w:rsidP="005F1608">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За рік, що</w:t>
            </w:r>
          </w:p>
          <w:p w14:paraId="79A25219" w14:textId="77777777" w:rsidR="005F1608" w:rsidRPr="003F3EBD" w:rsidRDefault="005F1608" w:rsidP="005F1608">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закінчився</w:t>
            </w:r>
          </w:p>
          <w:p w14:paraId="61759CAB" w14:textId="2387D7C5" w:rsidR="005F1608" w:rsidRPr="003F3EBD" w:rsidRDefault="005F1608" w:rsidP="005D04E4">
            <w:pPr>
              <w:pStyle w:val="af7"/>
              <w:tabs>
                <w:tab w:val="left" w:pos="2305"/>
              </w:tabs>
              <w:spacing w:before="0" w:after="0"/>
              <w:jc w:val="righ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 xml:space="preserve"> 31.12.20</w:t>
            </w:r>
            <w:r w:rsidR="005D04E4">
              <w:rPr>
                <w:rFonts w:asciiTheme="minorHAnsi" w:hAnsiTheme="minorHAnsi" w:cstheme="minorHAnsi"/>
                <w:b/>
                <w:color w:val="000000" w:themeColor="text1"/>
                <w:szCs w:val="20"/>
              </w:rPr>
              <w:t>19</w:t>
            </w:r>
          </w:p>
        </w:tc>
      </w:tr>
      <w:tr w:rsidR="006F2884" w:rsidRPr="00A22CC4" w14:paraId="42B83F53" w14:textId="77777777" w:rsidTr="005F1608">
        <w:trPr>
          <w:cantSplit/>
          <w:trHeight w:val="255"/>
        </w:trPr>
        <w:tc>
          <w:tcPr>
            <w:tcW w:w="2862" w:type="pct"/>
            <w:tcBorders>
              <w:top w:val="single" w:sz="4" w:space="0" w:color="auto"/>
              <w:left w:val="nil"/>
              <w:right w:val="nil"/>
            </w:tcBorders>
            <w:shd w:val="clear" w:color="000000" w:fill="FFFFFF"/>
            <w:vAlign w:val="bottom"/>
          </w:tcPr>
          <w:p w14:paraId="6D31CE31" w14:textId="77777777" w:rsidR="006F2884" w:rsidRPr="003F3EBD" w:rsidRDefault="006F2884" w:rsidP="006F2884">
            <w:pPr>
              <w:jc w:val="left"/>
              <w:rPr>
                <w:rFonts w:asciiTheme="minorHAnsi" w:hAnsiTheme="minorHAnsi" w:cstheme="minorHAnsi"/>
                <w:color w:val="000000" w:themeColor="text1"/>
                <w:szCs w:val="20"/>
              </w:rPr>
            </w:pPr>
            <w:r w:rsidRPr="003F3EBD">
              <w:rPr>
                <w:rFonts w:asciiTheme="minorHAnsi" w:hAnsiTheme="minorHAnsi" w:cstheme="minorHAnsi"/>
                <w:color w:val="000000" w:themeColor="text1"/>
                <w:szCs w:val="20"/>
              </w:rPr>
              <w:t>Проценти по кредитах та банківських овердрафтах</w:t>
            </w:r>
          </w:p>
        </w:tc>
        <w:tc>
          <w:tcPr>
            <w:tcW w:w="1069" w:type="pct"/>
            <w:tcBorders>
              <w:top w:val="single" w:sz="4" w:space="0" w:color="auto"/>
              <w:left w:val="nil"/>
              <w:right w:val="nil"/>
            </w:tcBorders>
            <w:shd w:val="clear" w:color="000000" w:fill="FFFFFF"/>
            <w:vAlign w:val="bottom"/>
          </w:tcPr>
          <w:p w14:paraId="2AC00DEF" w14:textId="7BA7901C" w:rsidR="006F2884" w:rsidRPr="005D04E4" w:rsidRDefault="006F2884" w:rsidP="006F2884">
            <w:pPr>
              <w:jc w:val="right"/>
              <w:rPr>
                <w:rFonts w:asciiTheme="minorHAnsi" w:hAnsiTheme="minorHAnsi" w:cstheme="minorHAnsi"/>
                <w:color w:val="000000" w:themeColor="text1"/>
                <w:szCs w:val="20"/>
              </w:rPr>
            </w:pPr>
            <w:r w:rsidRPr="005D04E4">
              <w:rPr>
                <w:color w:val="000000" w:themeColor="text1"/>
                <w:szCs w:val="20"/>
              </w:rPr>
              <w:t>(177 898)</w:t>
            </w:r>
          </w:p>
        </w:tc>
        <w:tc>
          <w:tcPr>
            <w:tcW w:w="1069" w:type="pct"/>
            <w:tcBorders>
              <w:top w:val="single" w:sz="4" w:space="0" w:color="auto"/>
              <w:left w:val="nil"/>
              <w:right w:val="nil"/>
            </w:tcBorders>
            <w:shd w:val="clear" w:color="000000" w:fill="FFFFFF"/>
            <w:vAlign w:val="bottom"/>
          </w:tcPr>
          <w:p w14:paraId="24E36577" w14:textId="6EB61C45"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(177 898)</w:t>
            </w:r>
          </w:p>
        </w:tc>
      </w:tr>
      <w:tr w:rsidR="006F2884" w:rsidRPr="00A22CC4" w14:paraId="5958F364" w14:textId="77777777" w:rsidTr="005F1608">
        <w:trPr>
          <w:cantSplit/>
          <w:trHeight w:val="255"/>
        </w:trPr>
        <w:tc>
          <w:tcPr>
            <w:tcW w:w="2862" w:type="pct"/>
            <w:tcBorders>
              <w:left w:val="nil"/>
              <w:bottom w:val="nil"/>
              <w:right w:val="nil"/>
            </w:tcBorders>
            <w:shd w:val="clear" w:color="000000" w:fill="FFFFFF"/>
            <w:vAlign w:val="bottom"/>
          </w:tcPr>
          <w:p w14:paraId="385D3900" w14:textId="7CCE85A6" w:rsidR="006F2884" w:rsidRPr="003F3EBD" w:rsidRDefault="006F2884" w:rsidP="006F2884">
            <w:pPr>
              <w:jc w:val="left"/>
              <w:rPr>
                <w:rFonts w:asciiTheme="minorHAnsi" w:hAnsiTheme="minorHAnsi" w:cstheme="minorHAnsi"/>
                <w:color w:val="000000" w:themeColor="text1"/>
                <w:szCs w:val="20"/>
              </w:rPr>
            </w:pPr>
            <w:r w:rsidRPr="003F3EBD">
              <w:rPr>
                <w:rFonts w:asciiTheme="minorHAnsi" w:hAnsiTheme="minorHAnsi" w:cstheme="minorHAnsi"/>
                <w:color w:val="000000" w:themeColor="text1"/>
                <w:szCs w:val="20"/>
              </w:rPr>
              <w:t>Фінансові витрати з оренди</w:t>
            </w:r>
          </w:p>
        </w:tc>
        <w:tc>
          <w:tcPr>
            <w:tcW w:w="1069" w:type="pct"/>
            <w:tcBorders>
              <w:left w:val="nil"/>
              <w:bottom w:val="nil"/>
              <w:right w:val="nil"/>
            </w:tcBorders>
            <w:shd w:val="clear" w:color="000000" w:fill="FFFFFF"/>
            <w:vAlign w:val="bottom"/>
          </w:tcPr>
          <w:p w14:paraId="6B607DE7" w14:textId="77AE25E8" w:rsidR="006F2884" w:rsidRPr="005D04E4" w:rsidRDefault="006F2884" w:rsidP="005D04E4">
            <w:pPr>
              <w:jc w:val="right"/>
              <w:rPr>
                <w:rFonts w:asciiTheme="minorHAnsi" w:hAnsiTheme="minorHAnsi" w:cstheme="minorHAnsi"/>
                <w:color w:val="000000" w:themeColor="text1"/>
                <w:szCs w:val="20"/>
              </w:rPr>
            </w:pPr>
            <w:r w:rsidRPr="005D04E4">
              <w:rPr>
                <w:color w:val="000000" w:themeColor="text1"/>
                <w:szCs w:val="20"/>
              </w:rPr>
              <w:t>(</w:t>
            </w:r>
            <w:r w:rsidR="005D04E4" w:rsidRPr="005D04E4">
              <w:rPr>
                <w:color w:val="000000" w:themeColor="text1"/>
                <w:szCs w:val="20"/>
              </w:rPr>
              <w:t>9</w:t>
            </w:r>
            <w:r w:rsidRPr="005D04E4">
              <w:rPr>
                <w:color w:val="000000" w:themeColor="text1"/>
                <w:szCs w:val="20"/>
              </w:rPr>
              <w:t xml:space="preserve"> </w:t>
            </w:r>
            <w:r w:rsidR="005D04E4" w:rsidRPr="005D04E4">
              <w:rPr>
                <w:color w:val="000000" w:themeColor="text1"/>
                <w:szCs w:val="20"/>
              </w:rPr>
              <w:t>563</w:t>
            </w:r>
            <w:r w:rsidRPr="005D04E4">
              <w:rPr>
                <w:color w:val="000000" w:themeColor="text1"/>
                <w:szCs w:val="20"/>
              </w:rPr>
              <w:t>)</w:t>
            </w:r>
          </w:p>
        </w:tc>
        <w:tc>
          <w:tcPr>
            <w:tcW w:w="1069" w:type="pct"/>
            <w:tcBorders>
              <w:left w:val="nil"/>
              <w:bottom w:val="nil"/>
              <w:right w:val="nil"/>
            </w:tcBorders>
            <w:shd w:val="clear" w:color="000000" w:fill="FFFFFF"/>
            <w:vAlign w:val="bottom"/>
          </w:tcPr>
          <w:p w14:paraId="6FCAFD01" w14:textId="5B676419" w:rsidR="006F2884" w:rsidRPr="003F3EBD" w:rsidRDefault="006F2884" w:rsidP="006F2884">
            <w:pPr>
              <w:jc w:val="right"/>
              <w:rPr>
                <w:rFonts w:asciiTheme="minorHAnsi" w:hAnsiTheme="minorHAnsi" w:cstheme="minorHAnsi"/>
                <w:color w:val="000000" w:themeColor="text1"/>
                <w:szCs w:val="20"/>
              </w:rPr>
            </w:pPr>
            <w:r w:rsidRPr="003F3EBD">
              <w:rPr>
                <w:color w:val="000000" w:themeColor="text1"/>
                <w:szCs w:val="20"/>
              </w:rPr>
              <w:t>(8 189)</w:t>
            </w:r>
          </w:p>
        </w:tc>
      </w:tr>
      <w:tr w:rsidR="003F3EBD" w:rsidRPr="00A22CC4" w14:paraId="32325725" w14:textId="77777777" w:rsidTr="005F1608">
        <w:trPr>
          <w:cantSplit/>
          <w:trHeight w:val="255"/>
        </w:trPr>
        <w:tc>
          <w:tcPr>
            <w:tcW w:w="2862" w:type="pct"/>
            <w:tcBorders>
              <w:top w:val="single" w:sz="4" w:space="0" w:color="auto"/>
              <w:left w:val="nil"/>
              <w:bottom w:val="nil"/>
              <w:right w:val="nil"/>
            </w:tcBorders>
            <w:shd w:val="clear" w:color="000000" w:fill="FFFFFF"/>
            <w:vAlign w:val="bottom"/>
          </w:tcPr>
          <w:p w14:paraId="31623CBA" w14:textId="77777777" w:rsidR="003F3EBD" w:rsidRPr="003F3EBD" w:rsidRDefault="003F3EBD" w:rsidP="003F3EBD">
            <w:pPr>
              <w:jc w:val="left"/>
              <w:rPr>
                <w:rFonts w:asciiTheme="minorHAnsi" w:hAnsiTheme="minorHAnsi" w:cstheme="minorHAnsi"/>
                <w:b/>
                <w:color w:val="000000" w:themeColor="text1"/>
                <w:szCs w:val="20"/>
              </w:rPr>
            </w:pPr>
            <w:r w:rsidRPr="003F3EBD">
              <w:rPr>
                <w:rFonts w:asciiTheme="minorHAnsi" w:hAnsiTheme="minorHAnsi" w:cstheme="minorHAnsi"/>
                <w:b/>
                <w:color w:val="000000" w:themeColor="text1"/>
                <w:szCs w:val="20"/>
              </w:rPr>
              <w:t>Разом:</w:t>
            </w:r>
          </w:p>
        </w:tc>
        <w:tc>
          <w:tcPr>
            <w:tcW w:w="1069" w:type="pct"/>
            <w:tcBorders>
              <w:top w:val="single" w:sz="4" w:space="0" w:color="auto"/>
              <w:left w:val="nil"/>
              <w:bottom w:val="nil"/>
              <w:right w:val="nil"/>
            </w:tcBorders>
            <w:shd w:val="clear" w:color="000000" w:fill="FFFFFF"/>
            <w:vAlign w:val="bottom"/>
          </w:tcPr>
          <w:p w14:paraId="20C082CA" w14:textId="3283D927" w:rsidR="003F3EBD" w:rsidRPr="003F3EBD" w:rsidRDefault="003F3EBD" w:rsidP="006F2884">
            <w:pPr>
              <w:jc w:val="right"/>
              <w:rPr>
                <w:rFonts w:asciiTheme="minorHAnsi" w:hAnsiTheme="minorHAnsi" w:cstheme="minorHAnsi"/>
                <w:b/>
                <w:bCs/>
                <w:color w:val="000000" w:themeColor="text1"/>
                <w:szCs w:val="20"/>
              </w:rPr>
            </w:pPr>
            <w:r w:rsidRPr="003F3EBD">
              <w:rPr>
                <w:b/>
                <w:bCs/>
                <w:color w:val="000000" w:themeColor="text1"/>
                <w:szCs w:val="20"/>
              </w:rPr>
              <w:t>(18</w:t>
            </w:r>
            <w:r w:rsidR="006F2884">
              <w:rPr>
                <w:b/>
                <w:bCs/>
                <w:color w:val="000000" w:themeColor="text1"/>
                <w:szCs w:val="20"/>
              </w:rPr>
              <w:t>7</w:t>
            </w:r>
            <w:r w:rsidRPr="003F3EBD">
              <w:rPr>
                <w:b/>
                <w:bCs/>
                <w:color w:val="000000" w:themeColor="text1"/>
                <w:szCs w:val="20"/>
              </w:rPr>
              <w:t xml:space="preserve"> </w:t>
            </w:r>
            <w:r w:rsidR="006F2884">
              <w:rPr>
                <w:b/>
                <w:bCs/>
                <w:color w:val="000000" w:themeColor="text1"/>
                <w:szCs w:val="20"/>
              </w:rPr>
              <w:t>461</w:t>
            </w:r>
            <w:r w:rsidRPr="003F3EBD">
              <w:rPr>
                <w:b/>
                <w:bCs/>
                <w:color w:val="000000" w:themeColor="text1"/>
                <w:szCs w:val="20"/>
              </w:rPr>
              <w:t>)</w:t>
            </w:r>
          </w:p>
        </w:tc>
        <w:tc>
          <w:tcPr>
            <w:tcW w:w="1069" w:type="pct"/>
            <w:tcBorders>
              <w:top w:val="single" w:sz="4" w:space="0" w:color="auto"/>
              <w:left w:val="nil"/>
              <w:bottom w:val="nil"/>
              <w:right w:val="nil"/>
            </w:tcBorders>
            <w:shd w:val="clear" w:color="000000" w:fill="FFFFFF"/>
            <w:vAlign w:val="bottom"/>
          </w:tcPr>
          <w:p w14:paraId="14664359" w14:textId="5ACBB0E5" w:rsidR="003F3EBD" w:rsidRPr="003C36F1" w:rsidRDefault="003C36F1" w:rsidP="003F3EBD">
            <w:pPr>
              <w:jc w:val="right"/>
              <w:rPr>
                <w:rFonts w:asciiTheme="minorHAnsi" w:hAnsiTheme="minorHAnsi" w:cstheme="minorHAnsi"/>
                <w:b/>
                <w:bCs/>
                <w:color w:val="000000" w:themeColor="text1"/>
                <w:szCs w:val="20"/>
              </w:rPr>
            </w:pPr>
            <w:r w:rsidRPr="003C36F1">
              <w:rPr>
                <w:b/>
                <w:color w:val="000000" w:themeColor="text1"/>
                <w:szCs w:val="20"/>
              </w:rPr>
              <w:t>(186 087)</w:t>
            </w:r>
          </w:p>
        </w:tc>
      </w:tr>
    </w:tbl>
    <w:p w14:paraId="5045E78E" w14:textId="4AFE5CC8" w:rsidR="00920BA5" w:rsidRPr="00DD2B27" w:rsidRDefault="00462939" w:rsidP="0062384D">
      <w:pPr>
        <w:pStyle w:val="1"/>
        <w:spacing w:before="360"/>
        <w:ind w:left="357" w:hanging="357"/>
        <w:rPr>
          <w:color w:val="000000" w:themeColor="text1"/>
          <w:szCs w:val="20"/>
        </w:rPr>
      </w:pPr>
      <w:bookmarkStart w:id="94" w:name="_Toc475007900"/>
      <w:bookmarkStart w:id="95" w:name="_Toc475522347"/>
      <w:bookmarkStart w:id="96" w:name="_Toc68253961"/>
      <w:r w:rsidRPr="00DD2B27">
        <w:rPr>
          <w:color w:val="000000" w:themeColor="text1"/>
          <w:szCs w:val="20"/>
        </w:rPr>
        <w:lastRenderedPageBreak/>
        <w:t>Податки</w:t>
      </w:r>
      <w:bookmarkEnd w:id="94"/>
      <w:bookmarkEnd w:id="95"/>
      <w:bookmarkEnd w:id="96"/>
    </w:p>
    <w:tbl>
      <w:tblPr>
        <w:tblW w:w="5002" w:type="pct"/>
        <w:tblLook w:val="0000" w:firstRow="0" w:lastRow="0" w:firstColumn="0" w:lastColumn="0" w:noHBand="0" w:noVBand="0"/>
      </w:tblPr>
      <w:tblGrid>
        <w:gridCol w:w="5519"/>
        <w:gridCol w:w="2061"/>
        <w:gridCol w:w="2061"/>
      </w:tblGrid>
      <w:tr w:rsidR="004B7218" w:rsidRPr="00DD2B27" w14:paraId="3541E1B7" w14:textId="77777777" w:rsidTr="004B7218">
        <w:trPr>
          <w:trHeight w:val="404"/>
          <w:tblHeader/>
        </w:trPr>
        <w:tc>
          <w:tcPr>
            <w:tcW w:w="2862" w:type="pct"/>
            <w:tcBorders>
              <w:bottom w:val="single" w:sz="4" w:space="0" w:color="auto"/>
            </w:tcBorders>
            <w:noWrap/>
            <w:vAlign w:val="center"/>
          </w:tcPr>
          <w:p w14:paraId="24D10682" w14:textId="13614C59" w:rsidR="004B7218" w:rsidRPr="00EA1F03" w:rsidRDefault="004B7218" w:rsidP="006F2884">
            <w:pPr>
              <w:jc w:val="left"/>
              <w:rPr>
                <w:rFonts w:asciiTheme="minorHAnsi" w:hAnsiTheme="minorHAnsi" w:cstheme="minorHAnsi"/>
                <w:b/>
                <w:bCs/>
                <w:color w:val="000000" w:themeColor="text1"/>
                <w:szCs w:val="20"/>
              </w:rPr>
            </w:pPr>
            <w:r w:rsidRPr="00EA1F03">
              <w:rPr>
                <w:rFonts w:asciiTheme="minorHAnsi" w:hAnsiTheme="minorHAnsi" w:cstheme="minorHAnsi"/>
                <w:b/>
                <w:bCs/>
                <w:color w:val="000000" w:themeColor="text1"/>
                <w:szCs w:val="20"/>
              </w:rPr>
              <w:t>8.1 Поточні податкові активи</w:t>
            </w:r>
          </w:p>
        </w:tc>
        <w:tc>
          <w:tcPr>
            <w:tcW w:w="1069" w:type="pct"/>
            <w:tcBorders>
              <w:bottom w:val="single" w:sz="4" w:space="0" w:color="auto"/>
            </w:tcBorders>
            <w:vAlign w:val="center"/>
          </w:tcPr>
          <w:p w14:paraId="01F36D7E" w14:textId="5AC58B8C" w:rsidR="004B7218" w:rsidRPr="00EA1F03" w:rsidRDefault="004B7218" w:rsidP="006F2884">
            <w:pPr>
              <w:jc w:val="right"/>
              <w:rPr>
                <w:rFonts w:asciiTheme="minorHAnsi" w:hAnsiTheme="minorHAnsi" w:cstheme="minorHAnsi"/>
                <w:b/>
                <w:bCs/>
                <w:color w:val="000000" w:themeColor="text1"/>
                <w:szCs w:val="20"/>
              </w:rPr>
            </w:pPr>
            <w:r w:rsidRPr="00EA1F03">
              <w:rPr>
                <w:rFonts w:asciiTheme="minorHAnsi" w:hAnsiTheme="minorHAnsi" w:cstheme="minorHAnsi"/>
                <w:b/>
                <w:bCs/>
                <w:color w:val="000000" w:themeColor="text1"/>
                <w:szCs w:val="20"/>
              </w:rPr>
              <w:t>31.12.2020</w:t>
            </w:r>
          </w:p>
        </w:tc>
        <w:tc>
          <w:tcPr>
            <w:tcW w:w="1069" w:type="pct"/>
            <w:tcBorders>
              <w:bottom w:val="single" w:sz="4" w:space="0" w:color="auto"/>
            </w:tcBorders>
            <w:vAlign w:val="center"/>
          </w:tcPr>
          <w:p w14:paraId="5788F661" w14:textId="151CD97E" w:rsidR="004B7218" w:rsidRPr="00EA1F03" w:rsidRDefault="004B7218" w:rsidP="006F2884">
            <w:pPr>
              <w:jc w:val="right"/>
              <w:rPr>
                <w:rFonts w:asciiTheme="minorHAnsi" w:hAnsiTheme="minorHAnsi" w:cstheme="minorHAnsi"/>
                <w:b/>
                <w:bCs/>
                <w:color w:val="000000" w:themeColor="text1"/>
                <w:szCs w:val="20"/>
              </w:rPr>
            </w:pPr>
            <w:r w:rsidRPr="00EA1F03">
              <w:rPr>
                <w:rFonts w:asciiTheme="minorHAnsi" w:hAnsiTheme="minorHAnsi" w:cstheme="minorHAnsi"/>
                <w:b/>
                <w:bCs/>
                <w:color w:val="000000" w:themeColor="text1"/>
                <w:szCs w:val="20"/>
              </w:rPr>
              <w:t>31.12.2019</w:t>
            </w:r>
          </w:p>
        </w:tc>
      </w:tr>
      <w:tr w:rsidR="004B7218" w:rsidRPr="00DD2B27" w14:paraId="5819A6AC" w14:textId="77777777" w:rsidTr="004B7218">
        <w:trPr>
          <w:trHeight w:val="255"/>
        </w:trPr>
        <w:tc>
          <w:tcPr>
            <w:tcW w:w="2862" w:type="pct"/>
            <w:noWrap/>
            <w:vAlign w:val="bottom"/>
          </w:tcPr>
          <w:p w14:paraId="3B7CEF8A" w14:textId="77777777" w:rsidR="004B7218" w:rsidRPr="00EA1F03" w:rsidRDefault="004B7218" w:rsidP="006F2884">
            <w:pPr>
              <w:jc w:val="left"/>
              <w:rPr>
                <w:rFonts w:asciiTheme="minorHAnsi" w:hAnsiTheme="minorHAnsi" w:cstheme="minorHAnsi"/>
                <w:color w:val="000000" w:themeColor="text1"/>
                <w:szCs w:val="20"/>
              </w:rPr>
            </w:pPr>
            <w:r w:rsidRPr="00EA1F03">
              <w:rPr>
                <w:rFonts w:asciiTheme="minorHAnsi" w:hAnsiTheme="minorHAnsi" w:cstheme="minorHAnsi"/>
                <w:color w:val="000000" w:themeColor="text1"/>
                <w:szCs w:val="20"/>
              </w:rPr>
              <w:t>Податок на додану вартість</w:t>
            </w:r>
          </w:p>
        </w:tc>
        <w:tc>
          <w:tcPr>
            <w:tcW w:w="1069" w:type="pct"/>
            <w:vAlign w:val="bottom"/>
          </w:tcPr>
          <w:p w14:paraId="42FE549A" w14:textId="5EBD71E2" w:rsidR="004B7218" w:rsidRPr="00427097" w:rsidRDefault="004B7218" w:rsidP="00363B9D">
            <w:pPr>
              <w:jc w:val="right"/>
              <w:rPr>
                <w:rFonts w:asciiTheme="minorHAnsi" w:hAnsiTheme="minorHAnsi" w:cstheme="minorHAnsi"/>
                <w:color w:val="000000" w:themeColor="text1"/>
                <w:szCs w:val="20"/>
              </w:rPr>
            </w:pPr>
            <w:r w:rsidRPr="00427097">
              <w:rPr>
                <w:color w:val="000000" w:themeColor="text1"/>
                <w:szCs w:val="20"/>
              </w:rPr>
              <w:t>17 77</w:t>
            </w:r>
            <w:r w:rsidR="00363B9D" w:rsidRPr="00427097">
              <w:rPr>
                <w:color w:val="000000" w:themeColor="text1"/>
                <w:szCs w:val="20"/>
              </w:rPr>
              <w:t>3</w:t>
            </w:r>
            <w:r w:rsidRPr="00427097">
              <w:rPr>
                <w:color w:val="000000" w:themeColor="text1"/>
                <w:szCs w:val="20"/>
              </w:rPr>
              <w:t xml:space="preserve"> </w:t>
            </w:r>
          </w:p>
        </w:tc>
        <w:tc>
          <w:tcPr>
            <w:tcW w:w="1069" w:type="pct"/>
            <w:vAlign w:val="bottom"/>
          </w:tcPr>
          <w:p w14:paraId="67ADC47F" w14:textId="0ED06768" w:rsidR="004B7218" w:rsidRPr="00EA1F03" w:rsidRDefault="004B7218" w:rsidP="006F2884">
            <w:pPr>
              <w:jc w:val="right"/>
              <w:rPr>
                <w:color w:val="000000" w:themeColor="text1"/>
                <w:szCs w:val="20"/>
              </w:rPr>
            </w:pPr>
            <w:r w:rsidRPr="00EA1F03">
              <w:rPr>
                <w:color w:val="000000" w:themeColor="text1"/>
                <w:szCs w:val="20"/>
              </w:rPr>
              <w:t xml:space="preserve">12 438 </w:t>
            </w:r>
          </w:p>
        </w:tc>
      </w:tr>
      <w:tr w:rsidR="004B7218" w:rsidRPr="00DD2B27" w14:paraId="32E23DB9" w14:textId="77777777" w:rsidTr="004B7218">
        <w:trPr>
          <w:trHeight w:val="255"/>
        </w:trPr>
        <w:tc>
          <w:tcPr>
            <w:tcW w:w="2862" w:type="pct"/>
            <w:tcBorders>
              <w:bottom w:val="single" w:sz="4" w:space="0" w:color="auto"/>
            </w:tcBorders>
            <w:noWrap/>
            <w:vAlign w:val="bottom"/>
          </w:tcPr>
          <w:p w14:paraId="410924AE" w14:textId="77777777" w:rsidR="004B7218" w:rsidRPr="00EA1F03" w:rsidRDefault="004B7218" w:rsidP="006F2884">
            <w:pPr>
              <w:jc w:val="left"/>
              <w:rPr>
                <w:rFonts w:asciiTheme="minorHAnsi" w:hAnsiTheme="minorHAnsi" w:cstheme="minorHAnsi"/>
                <w:color w:val="000000" w:themeColor="text1"/>
                <w:szCs w:val="20"/>
              </w:rPr>
            </w:pPr>
            <w:r w:rsidRPr="00EA1F03">
              <w:rPr>
                <w:rFonts w:asciiTheme="minorHAnsi" w:hAnsiTheme="minorHAnsi" w:cstheme="minorHAnsi"/>
                <w:color w:val="000000" w:themeColor="text1"/>
                <w:szCs w:val="20"/>
              </w:rPr>
              <w:t>Інші податкові активи</w:t>
            </w:r>
          </w:p>
        </w:tc>
        <w:tc>
          <w:tcPr>
            <w:tcW w:w="1069" w:type="pct"/>
            <w:tcBorders>
              <w:bottom w:val="single" w:sz="4" w:space="0" w:color="auto"/>
            </w:tcBorders>
            <w:vAlign w:val="bottom"/>
          </w:tcPr>
          <w:p w14:paraId="16D104B9" w14:textId="378472A1" w:rsidR="004B7218" w:rsidRPr="00427097" w:rsidRDefault="00363B9D" w:rsidP="006F2884">
            <w:pPr>
              <w:jc w:val="right"/>
              <w:rPr>
                <w:rFonts w:asciiTheme="minorHAnsi" w:hAnsiTheme="minorHAnsi" w:cstheme="minorHAnsi"/>
                <w:color w:val="000000" w:themeColor="text1"/>
                <w:szCs w:val="20"/>
              </w:rPr>
            </w:pPr>
            <w:r w:rsidRPr="00427097">
              <w:rPr>
                <w:color w:val="000000" w:themeColor="text1"/>
                <w:szCs w:val="20"/>
              </w:rPr>
              <w:t>4</w:t>
            </w:r>
            <w:r w:rsidR="004B7218" w:rsidRPr="00427097">
              <w:rPr>
                <w:color w:val="000000" w:themeColor="text1"/>
                <w:szCs w:val="20"/>
              </w:rPr>
              <w:t xml:space="preserve"> </w:t>
            </w:r>
          </w:p>
        </w:tc>
        <w:tc>
          <w:tcPr>
            <w:tcW w:w="1069" w:type="pct"/>
            <w:tcBorders>
              <w:bottom w:val="single" w:sz="4" w:space="0" w:color="auto"/>
            </w:tcBorders>
            <w:vAlign w:val="bottom"/>
          </w:tcPr>
          <w:p w14:paraId="1F277FCC" w14:textId="6C1BAFD5" w:rsidR="004B7218" w:rsidRPr="00EA1F03" w:rsidRDefault="004B7218" w:rsidP="006F2884">
            <w:pPr>
              <w:jc w:val="right"/>
              <w:rPr>
                <w:color w:val="000000" w:themeColor="text1"/>
                <w:szCs w:val="20"/>
              </w:rPr>
            </w:pPr>
            <w:r w:rsidRPr="00EA1F03">
              <w:rPr>
                <w:color w:val="000000" w:themeColor="text1"/>
                <w:szCs w:val="20"/>
              </w:rPr>
              <w:t xml:space="preserve">2 </w:t>
            </w:r>
          </w:p>
        </w:tc>
      </w:tr>
      <w:tr w:rsidR="004B7218" w:rsidRPr="00DD2B27" w14:paraId="34691A91" w14:textId="77777777" w:rsidTr="004B7218">
        <w:trPr>
          <w:trHeight w:val="255"/>
        </w:trPr>
        <w:tc>
          <w:tcPr>
            <w:tcW w:w="2862" w:type="pct"/>
            <w:tcBorders>
              <w:top w:val="single" w:sz="4" w:space="0" w:color="auto"/>
            </w:tcBorders>
            <w:noWrap/>
            <w:vAlign w:val="bottom"/>
          </w:tcPr>
          <w:p w14:paraId="2C66C2F1" w14:textId="77777777" w:rsidR="004B7218" w:rsidRPr="00EA1F03" w:rsidRDefault="004B7218" w:rsidP="006F2884">
            <w:pPr>
              <w:jc w:val="left"/>
              <w:rPr>
                <w:rFonts w:asciiTheme="minorHAnsi" w:hAnsiTheme="minorHAnsi" w:cstheme="minorHAnsi"/>
                <w:b/>
                <w:bCs/>
                <w:color w:val="000000" w:themeColor="text1"/>
                <w:szCs w:val="20"/>
              </w:rPr>
            </w:pPr>
            <w:r w:rsidRPr="00EA1F03">
              <w:rPr>
                <w:rFonts w:asciiTheme="minorHAnsi" w:hAnsiTheme="minorHAnsi" w:cstheme="minorHAnsi"/>
                <w:b/>
                <w:color w:val="000000" w:themeColor="text1"/>
                <w:szCs w:val="20"/>
              </w:rPr>
              <w:t>Разом:</w:t>
            </w:r>
          </w:p>
        </w:tc>
        <w:tc>
          <w:tcPr>
            <w:tcW w:w="1069" w:type="pct"/>
            <w:tcBorders>
              <w:top w:val="single" w:sz="4" w:space="0" w:color="auto"/>
            </w:tcBorders>
            <w:vAlign w:val="bottom"/>
          </w:tcPr>
          <w:p w14:paraId="7D515E21" w14:textId="00D67080" w:rsidR="004B7218" w:rsidRPr="00EA1F03" w:rsidRDefault="004B7218" w:rsidP="006F2884">
            <w:pPr>
              <w:jc w:val="right"/>
              <w:rPr>
                <w:rFonts w:asciiTheme="minorHAnsi" w:hAnsiTheme="minorHAnsi" w:cstheme="minorHAnsi"/>
                <w:b/>
                <w:bCs/>
                <w:color w:val="000000" w:themeColor="text1"/>
                <w:szCs w:val="20"/>
              </w:rPr>
            </w:pPr>
            <w:r w:rsidRPr="00EA1F03">
              <w:rPr>
                <w:b/>
                <w:bCs/>
                <w:color w:val="000000" w:themeColor="text1"/>
                <w:szCs w:val="20"/>
              </w:rPr>
              <w:t xml:space="preserve">17 777 </w:t>
            </w:r>
          </w:p>
        </w:tc>
        <w:tc>
          <w:tcPr>
            <w:tcW w:w="1069" w:type="pct"/>
            <w:tcBorders>
              <w:top w:val="single" w:sz="4" w:space="0" w:color="auto"/>
            </w:tcBorders>
            <w:vAlign w:val="bottom"/>
          </w:tcPr>
          <w:p w14:paraId="457A78B1" w14:textId="7D358146" w:rsidR="004B7218" w:rsidRPr="00EA1F03" w:rsidRDefault="004B7218" w:rsidP="006F2884">
            <w:pPr>
              <w:jc w:val="right"/>
              <w:rPr>
                <w:b/>
                <w:bCs/>
                <w:color w:val="000000" w:themeColor="text1"/>
                <w:szCs w:val="20"/>
              </w:rPr>
            </w:pPr>
            <w:r w:rsidRPr="00EA1F03">
              <w:rPr>
                <w:b/>
                <w:bCs/>
                <w:color w:val="000000" w:themeColor="text1"/>
                <w:szCs w:val="20"/>
              </w:rPr>
              <w:t xml:space="preserve">12 440 </w:t>
            </w:r>
          </w:p>
        </w:tc>
      </w:tr>
    </w:tbl>
    <w:p w14:paraId="39BF5166" w14:textId="6A8CE09D" w:rsidR="00AF57D3" w:rsidRPr="00DD2B27" w:rsidRDefault="00AF57D3" w:rsidP="0062384D">
      <w:pPr>
        <w:rPr>
          <w:rFonts w:asciiTheme="minorHAnsi" w:hAnsiTheme="minorHAnsi" w:cstheme="minorHAnsi"/>
          <w:color w:val="000000" w:themeColor="text1"/>
          <w:szCs w:val="20"/>
        </w:rPr>
      </w:pPr>
    </w:p>
    <w:tbl>
      <w:tblPr>
        <w:tblW w:w="5001" w:type="pct"/>
        <w:tblLook w:val="0000" w:firstRow="0" w:lastRow="0" w:firstColumn="0" w:lastColumn="0" w:noHBand="0" w:noVBand="0"/>
      </w:tblPr>
      <w:tblGrid>
        <w:gridCol w:w="5517"/>
        <w:gridCol w:w="2061"/>
        <w:gridCol w:w="2061"/>
      </w:tblGrid>
      <w:tr w:rsidR="006F2884" w:rsidRPr="00DD2B27" w14:paraId="0388624D" w14:textId="77777777" w:rsidTr="00C22E57">
        <w:trPr>
          <w:trHeight w:val="401"/>
          <w:tblHeader/>
        </w:trPr>
        <w:tc>
          <w:tcPr>
            <w:tcW w:w="2862" w:type="pct"/>
            <w:tcBorders>
              <w:bottom w:val="single" w:sz="4" w:space="0" w:color="auto"/>
            </w:tcBorders>
            <w:noWrap/>
            <w:vAlign w:val="center"/>
          </w:tcPr>
          <w:p w14:paraId="7BA283D4" w14:textId="6A514A3C" w:rsidR="006F2884" w:rsidRPr="00B74F63" w:rsidRDefault="006F2884" w:rsidP="006F2884">
            <w:pPr>
              <w:jc w:val="left"/>
              <w:rPr>
                <w:rFonts w:asciiTheme="minorHAnsi" w:hAnsiTheme="minorHAnsi" w:cstheme="minorHAnsi"/>
                <w:b/>
                <w:bCs/>
                <w:color w:val="000000" w:themeColor="text1"/>
                <w:szCs w:val="20"/>
              </w:rPr>
            </w:pPr>
            <w:r w:rsidRPr="00B74F63">
              <w:rPr>
                <w:rFonts w:asciiTheme="minorHAnsi" w:hAnsiTheme="minorHAnsi" w:cstheme="minorHAnsi"/>
                <w:b/>
                <w:bCs/>
                <w:color w:val="000000" w:themeColor="text1"/>
                <w:szCs w:val="20"/>
              </w:rPr>
              <w:t>8.2 Поточні податкові зобов'язання</w:t>
            </w:r>
          </w:p>
        </w:tc>
        <w:tc>
          <w:tcPr>
            <w:tcW w:w="1069" w:type="pct"/>
            <w:tcBorders>
              <w:bottom w:val="single" w:sz="4" w:space="0" w:color="auto"/>
            </w:tcBorders>
            <w:vAlign w:val="center"/>
          </w:tcPr>
          <w:p w14:paraId="24A84AB0" w14:textId="0CDCBE76" w:rsidR="006F2884" w:rsidRPr="00B74F63" w:rsidRDefault="006F2884" w:rsidP="006F2884">
            <w:pPr>
              <w:jc w:val="right"/>
              <w:rPr>
                <w:rFonts w:asciiTheme="minorHAnsi" w:hAnsiTheme="minorHAnsi" w:cstheme="minorHAnsi"/>
                <w:b/>
                <w:bCs/>
                <w:color w:val="000000" w:themeColor="text1"/>
                <w:szCs w:val="20"/>
              </w:rPr>
            </w:pPr>
            <w:r w:rsidRPr="00B74F63">
              <w:rPr>
                <w:rFonts w:asciiTheme="minorHAnsi" w:hAnsiTheme="minorHAnsi" w:cstheme="minorHAnsi"/>
                <w:b/>
                <w:bCs/>
                <w:color w:val="000000" w:themeColor="text1"/>
                <w:szCs w:val="20"/>
              </w:rPr>
              <w:t>31.12.2020</w:t>
            </w:r>
          </w:p>
        </w:tc>
        <w:tc>
          <w:tcPr>
            <w:tcW w:w="1069" w:type="pct"/>
            <w:tcBorders>
              <w:bottom w:val="single" w:sz="4" w:space="0" w:color="auto"/>
            </w:tcBorders>
            <w:vAlign w:val="center"/>
          </w:tcPr>
          <w:p w14:paraId="6746005A" w14:textId="7797B236" w:rsidR="006F2884" w:rsidRPr="00B74F63" w:rsidRDefault="006F2884" w:rsidP="006F2884">
            <w:pPr>
              <w:jc w:val="right"/>
              <w:rPr>
                <w:rFonts w:asciiTheme="minorHAnsi" w:hAnsiTheme="minorHAnsi" w:cstheme="minorHAnsi"/>
                <w:b/>
                <w:bCs/>
                <w:color w:val="000000" w:themeColor="text1"/>
                <w:szCs w:val="20"/>
              </w:rPr>
            </w:pPr>
            <w:r w:rsidRPr="00B74F63">
              <w:rPr>
                <w:rFonts w:asciiTheme="minorHAnsi" w:hAnsiTheme="minorHAnsi" w:cstheme="minorHAnsi"/>
                <w:b/>
                <w:bCs/>
                <w:color w:val="000000" w:themeColor="text1"/>
                <w:szCs w:val="20"/>
              </w:rPr>
              <w:t>31.12.2019</w:t>
            </w:r>
          </w:p>
        </w:tc>
      </w:tr>
      <w:tr w:rsidR="006F2884" w:rsidRPr="00DD2B27" w14:paraId="4D66B6D8" w14:textId="77777777" w:rsidTr="00C22E57">
        <w:trPr>
          <w:trHeight w:val="255"/>
        </w:trPr>
        <w:tc>
          <w:tcPr>
            <w:tcW w:w="2862" w:type="pct"/>
            <w:noWrap/>
            <w:vAlign w:val="bottom"/>
          </w:tcPr>
          <w:p w14:paraId="42F5B626" w14:textId="2EEF8FE3" w:rsidR="006F2884" w:rsidRPr="00B74F63" w:rsidRDefault="00B74F63" w:rsidP="00533EEB">
            <w:pPr>
              <w:jc w:val="left"/>
              <w:rPr>
                <w:rFonts w:asciiTheme="minorHAnsi" w:hAnsiTheme="minorHAnsi" w:cstheme="minorHAnsi"/>
                <w:color w:val="000000" w:themeColor="text1"/>
                <w:szCs w:val="20"/>
              </w:rPr>
            </w:pPr>
            <w:r w:rsidRPr="00B74F63">
              <w:rPr>
                <w:rFonts w:asciiTheme="minorHAnsi" w:hAnsiTheme="minorHAnsi" w:cstheme="minorHAnsi"/>
                <w:color w:val="000000" w:themeColor="text1"/>
                <w:szCs w:val="20"/>
              </w:rPr>
              <w:t xml:space="preserve">Податок на </w:t>
            </w:r>
            <w:r w:rsidR="00533EEB">
              <w:rPr>
                <w:rFonts w:asciiTheme="minorHAnsi" w:hAnsiTheme="minorHAnsi" w:cstheme="minorHAnsi"/>
                <w:color w:val="000000" w:themeColor="text1"/>
                <w:szCs w:val="20"/>
              </w:rPr>
              <w:t>прибуток</w:t>
            </w:r>
          </w:p>
        </w:tc>
        <w:tc>
          <w:tcPr>
            <w:tcW w:w="1069" w:type="pct"/>
            <w:vAlign w:val="bottom"/>
          </w:tcPr>
          <w:p w14:paraId="6759A3DF" w14:textId="2B09073E" w:rsidR="006F2884" w:rsidRPr="00B74F63" w:rsidRDefault="00B74F63" w:rsidP="000A03C0">
            <w:pPr>
              <w:jc w:val="right"/>
              <w:rPr>
                <w:rFonts w:asciiTheme="minorHAnsi" w:hAnsiTheme="minorHAnsi" w:cstheme="minorHAnsi"/>
                <w:color w:val="000000" w:themeColor="text1"/>
                <w:szCs w:val="20"/>
                <w:lang w:val="ru-RU"/>
              </w:rPr>
            </w:pPr>
            <w:r w:rsidRPr="00B74F63">
              <w:rPr>
                <w:color w:val="000000" w:themeColor="text1"/>
                <w:szCs w:val="20"/>
              </w:rPr>
              <w:t>10 71</w:t>
            </w:r>
            <w:r w:rsidR="000A03C0">
              <w:rPr>
                <w:color w:val="000000" w:themeColor="text1"/>
                <w:szCs w:val="20"/>
              </w:rPr>
              <w:t>0</w:t>
            </w:r>
            <w:r w:rsidR="006F2884" w:rsidRPr="00B74F63">
              <w:rPr>
                <w:color w:val="000000" w:themeColor="text1"/>
                <w:szCs w:val="20"/>
              </w:rPr>
              <w:t xml:space="preserve"> </w:t>
            </w:r>
          </w:p>
        </w:tc>
        <w:tc>
          <w:tcPr>
            <w:tcW w:w="1069" w:type="pct"/>
            <w:vAlign w:val="bottom"/>
          </w:tcPr>
          <w:p w14:paraId="74F09A92" w14:textId="46935DB9" w:rsidR="006F2884" w:rsidRPr="00B74F63" w:rsidRDefault="006F2884" w:rsidP="006F2884">
            <w:pPr>
              <w:jc w:val="right"/>
              <w:rPr>
                <w:rFonts w:asciiTheme="minorHAnsi" w:hAnsiTheme="minorHAnsi" w:cstheme="minorHAnsi"/>
                <w:color w:val="000000" w:themeColor="text1"/>
                <w:szCs w:val="20"/>
              </w:rPr>
            </w:pPr>
            <w:r w:rsidRPr="00B74F63">
              <w:rPr>
                <w:color w:val="000000" w:themeColor="text1"/>
                <w:szCs w:val="20"/>
              </w:rPr>
              <w:t xml:space="preserve">12 294 </w:t>
            </w:r>
          </w:p>
        </w:tc>
      </w:tr>
      <w:tr w:rsidR="00533EEB" w:rsidRPr="00DD2B27" w14:paraId="4D5F31DF" w14:textId="77777777" w:rsidTr="00C22E57">
        <w:trPr>
          <w:trHeight w:val="255"/>
        </w:trPr>
        <w:tc>
          <w:tcPr>
            <w:tcW w:w="2862" w:type="pct"/>
            <w:noWrap/>
            <w:vAlign w:val="bottom"/>
          </w:tcPr>
          <w:p w14:paraId="6A8786E8" w14:textId="231B5AC2" w:rsidR="00533EEB" w:rsidRPr="00B74F63" w:rsidRDefault="00533EEB" w:rsidP="00533EEB">
            <w:pPr>
              <w:jc w:val="left"/>
              <w:rPr>
                <w:rFonts w:asciiTheme="minorHAnsi" w:hAnsiTheme="minorHAnsi" w:cstheme="minorHAnsi"/>
                <w:color w:val="000000" w:themeColor="text1"/>
                <w:szCs w:val="20"/>
              </w:rPr>
            </w:pPr>
            <w:r w:rsidRPr="00B74F63">
              <w:rPr>
                <w:rFonts w:asciiTheme="minorHAnsi" w:hAnsiTheme="minorHAnsi" w:cstheme="minorHAnsi"/>
                <w:color w:val="000000" w:themeColor="text1"/>
                <w:szCs w:val="20"/>
              </w:rPr>
              <w:t>Податок на доходи фізичних осіб</w:t>
            </w:r>
          </w:p>
        </w:tc>
        <w:tc>
          <w:tcPr>
            <w:tcW w:w="1069" w:type="pct"/>
            <w:vAlign w:val="bottom"/>
          </w:tcPr>
          <w:p w14:paraId="6C4F5077" w14:textId="23D6BF01" w:rsidR="00533EEB" w:rsidRPr="00B74F63" w:rsidRDefault="00533EEB" w:rsidP="00533EEB">
            <w:pPr>
              <w:jc w:val="right"/>
              <w:rPr>
                <w:rFonts w:asciiTheme="minorHAnsi" w:hAnsiTheme="minorHAnsi" w:cstheme="minorHAnsi"/>
                <w:color w:val="000000" w:themeColor="text1"/>
                <w:szCs w:val="20"/>
              </w:rPr>
            </w:pPr>
            <w:r w:rsidRPr="00B74F63">
              <w:rPr>
                <w:color w:val="000000" w:themeColor="text1"/>
                <w:szCs w:val="20"/>
              </w:rPr>
              <w:t xml:space="preserve">1 927 </w:t>
            </w:r>
          </w:p>
        </w:tc>
        <w:tc>
          <w:tcPr>
            <w:tcW w:w="1069" w:type="pct"/>
            <w:vAlign w:val="bottom"/>
          </w:tcPr>
          <w:p w14:paraId="39CECB6F" w14:textId="197C0D32" w:rsidR="00533EEB" w:rsidRPr="00B74F63" w:rsidRDefault="00533EEB" w:rsidP="00533EEB">
            <w:pPr>
              <w:jc w:val="right"/>
              <w:rPr>
                <w:rFonts w:asciiTheme="minorHAnsi" w:hAnsiTheme="minorHAnsi" w:cstheme="minorHAnsi"/>
                <w:color w:val="000000" w:themeColor="text1"/>
                <w:szCs w:val="20"/>
              </w:rPr>
            </w:pPr>
            <w:r w:rsidRPr="00B74F63">
              <w:rPr>
                <w:color w:val="000000" w:themeColor="text1"/>
                <w:szCs w:val="20"/>
              </w:rPr>
              <w:t xml:space="preserve">1 736 </w:t>
            </w:r>
          </w:p>
        </w:tc>
      </w:tr>
      <w:tr w:rsidR="006F2884" w:rsidRPr="00DD2B27" w14:paraId="36EB9D35" w14:textId="77777777" w:rsidTr="00C22E57">
        <w:trPr>
          <w:trHeight w:val="255"/>
        </w:trPr>
        <w:tc>
          <w:tcPr>
            <w:tcW w:w="2862" w:type="pct"/>
            <w:noWrap/>
            <w:vAlign w:val="bottom"/>
          </w:tcPr>
          <w:p w14:paraId="78815435" w14:textId="77777777" w:rsidR="006F2884" w:rsidRPr="00B74F63" w:rsidRDefault="006F2884" w:rsidP="006F2884">
            <w:pPr>
              <w:jc w:val="left"/>
              <w:rPr>
                <w:rFonts w:asciiTheme="minorHAnsi" w:hAnsiTheme="minorHAnsi" w:cstheme="minorHAnsi"/>
                <w:color w:val="000000" w:themeColor="text1"/>
                <w:szCs w:val="20"/>
              </w:rPr>
            </w:pPr>
            <w:r w:rsidRPr="00B74F63">
              <w:rPr>
                <w:rFonts w:asciiTheme="minorHAnsi" w:hAnsiTheme="minorHAnsi" w:cstheme="minorHAnsi"/>
                <w:color w:val="000000" w:themeColor="text1"/>
                <w:szCs w:val="20"/>
              </w:rPr>
              <w:t>Інші податкові зобов'язання</w:t>
            </w:r>
          </w:p>
        </w:tc>
        <w:tc>
          <w:tcPr>
            <w:tcW w:w="1069" w:type="pct"/>
            <w:vAlign w:val="bottom"/>
          </w:tcPr>
          <w:p w14:paraId="148869FF" w14:textId="1CFBC420" w:rsidR="006F2884" w:rsidRPr="00B74F63" w:rsidRDefault="006F2884" w:rsidP="000A03C0">
            <w:pPr>
              <w:jc w:val="right"/>
              <w:rPr>
                <w:rFonts w:asciiTheme="minorHAnsi" w:hAnsiTheme="minorHAnsi" w:cstheme="minorHAnsi"/>
                <w:color w:val="000000" w:themeColor="text1"/>
                <w:szCs w:val="20"/>
              </w:rPr>
            </w:pPr>
            <w:r w:rsidRPr="00B74F63">
              <w:rPr>
                <w:color w:val="000000" w:themeColor="text1"/>
                <w:szCs w:val="20"/>
              </w:rPr>
              <w:t>62</w:t>
            </w:r>
            <w:r w:rsidR="000A03C0">
              <w:rPr>
                <w:color w:val="000000" w:themeColor="text1"/>
                <w:szCs w:val="20"/>
              </w:rPr>
              <w:t>9</w:t>
            </w:r>
            <w:r w:rsidRPr="00B74F63">
              <w:rPr>
                <w:color w:val="000000" w:themeColor="text1"/>
                <w:szCs w:val="20"/>
              </w:rPr>
              <w:t xml:space="preserve"> </w:t>
            </w:r>
          </w:p>
        </w:tc>
        <w:tc>
          <w:tcPr>
            <w:tcW w:w="1069" w:type="pct"/>
            <w:vAlign w:val="bottom"/>
          </w:tcPr>
          <w:p w14:paraId="50570F1D" w14:textId="48C62E9C" w:rsidR="006F2884" w:rsidRPr="00B74F63" w:rsidRDefault="006F2884" w:rsidP="006F2884">
            <w:pPr>
              <w:jc w:val="right"/>
              <w:rPr>
                <w:rFonts w:asciiTheme="minorHAnsi" w:hAnsiTheme="minorHAnsi" w:cstheme="minorHAnsi"/>
                <w:color w:val="000000" w:themeColor="text1"/>
                <w:szCs w:val="20"/>
              </w:rPr>
            </w:pPr>
            <w:r w:rsidRPr="00B74F63">
              <w:rPr>
                <w:color w:val="000000" w:themeColor="text1"/>
                <w:szCs w:val="20"/>
              </w:rPr>
              <w:t xml:space="preserve">628 </w:t>
            </w:r>
          </w:p>
        </w:tc>
      </w:tr>
      <w:tr w:rsidR="006F2884" w:rsidRPr="00DD2B27" w14:paraId="4FC43EDA" w14:textId="77777777" w:rsidTr="00C22E57">
        <w:trPr>
          <w:trHeight w:val="255"/>
        </w:trPr>
        <w:tc>
          <w:tcPr>
            <w:tcW w:w="2862" w:type="pct"/>
            <w:tcBorders>
              <w:top w:val="single" w:sz="4" w:space="0" w:color="auto"/>
            </w:tcBorders>
            <w:noWrap/>
            <w:vAlign w:val="bottom"/>
          </w:tcPr>
          <w:p w14:paraId="07FAD3A6" w14:textId="77777777" w:rsidR="006F2884" w:rsidRPr="00B74F63" w:rsidRDefault="006F2884" w:rsidP="006F2884">
            <w:pPr>
              <w:jc w:val="left"/>
              <w:rPr>
                <w:rFonts w:asciiTheme="minorHAnsi" w:hAnsiTheme="minorHAnsi" w:cstheme="minorHAnsi"/>
                <w:b/>
                <w:bCs/>
                <w:color w:val="000000" w:themeColor="text1"/>
                <w:szCs w:val="20"/>
              </w:rPr>
            </w:pPr>
            <w:r w:rsidRPr="00B74F63">
              <w:rPr>
                <w:rFonts w:asciiTheme="minorHAnsi" w:hAnsiTheme="minorHAnsi" w:cstheme="minorHAnsi"/>
                <w:b/>
                <w:color w:val="000000" w:themeColor="text1"/>
                <w:szCs w:val="20"/>
              </w:rPr>
              <w:t>Разом:</w:t>
            </w:r>
          </w:p>
        </w:tc>
        <w:tc>
          <w:tcPr>
            <w:tcW w:w="1069" w:type="pct"/>
            <w:tcBorders>
              <w:top w:val="single" w:sz="4" w:space="0" w:color="auto"/>
            </w:tcBorders>
            <w:vAlign w:val="bottom"/>
          </w:tcPr>
          <w:p w14:paraId="3C962F2B" w14:textId="487FC553" w:rsidR="006F2884" w:rsidRPr="00B74F63" w:rsidRDefault="00B74F63" w:rsidP="006F2884">
            <w:pPr>
              <w:jc w:val="right"/>
              <w:rPr>
                <w:rFonts w:asciiTheme="minorHAnsi" w:hAnsiTheme="minorHAnsi" w:cstheme="minorHAnsi"/>
                <w:b/>
                <w:bCs/>
                <w:color w:val="000000" w:themeColor="text1"/>
                <w:szCs w:val="20"/>
                <w:lang w:val="ru-RU"/>
              </w:rPr>
            </w:pPr>
            <w:r w:rsidRPr="00B74F63">
              <w:rPr>
                <w:b/>
                <w:bCs/>
                <w:color w:val="000000" w:themeColor="text1"/>
                <w:szCs w:val="20"/>
              </w:rPr>
              <w:t>13 266</w:t>
            </w:r>
            <w:r w:rsidR="006F2884" w:rsidRPr="00B74F63">
              <w:rPr>
                <w:b/>
                <w:bCs/>
                <w:color w:val="000000" w:themeColor="text1"/>
                <w:szCs w:val="20"/>
              </w:rPr>
              <w:t xml:space="preserve"> </w:t>
            </w:r>
          </w:p>
        </w:tc>
        <w:tc>
          <w:tcPr>
            <w:tcW w:w="1069" w:type="pct"/>
            <w:tcBorders>
              <w:top w:val="single" w:sz="4" w:space="0" w:color="auto"/>
            </w:tcBorders>
            <w:vAlign w:val="bottom"/>
          </w:tcPr>
          <w:p w14:paraId="689C505F" w14:textId="1D19A767" w:rsidR="006F2884" w:rsidRPr="00B74F63" w:rsidRDefault="006F2884" w:rsidP="006F2884">
            <w:pPr>
              <w:jc w:val="right"/>
              <w:rPr>
                <w:rFonts w:asciiTheme="minorHAnsi" w:hAnsiTheme="minorHAnsi" w:cstheme="minorHAnsi"/>
                <w:b/>
                <w:bCs/>
                <w:color w:val="000000" w:themeColor="text1"/>
                <w:szCs w:val="20"/>
              </w:rPr>
            </w:pPr>
            <w:r w:rsidRPr="00B74F63">
              <w:rPr>
                <w:b/>
                <w:bCs/>
                <w:color w:val="000000" w:themeColor="text1"/>
                <w:szCs w:val="20"/>
              </w:rPr>
              <w:t xml:space="preserve">14 658 </w:t>
            </w:r>
          </w:p>
        </w:tc>
      </w:tr>
    </w:tbl>
    <w:p w14:paraId="023E5DCA" w14:textId="7167FCBB" w:rsidR="000A41E5" w:rsidRPr="00DD2B27" w:rsidRDefault="000A41E5" w:rsidP="0062384D">
      <w:pPr>
        <w:rPr>
          <w:rFonts w:asciiTheme="minorHAnsi" w:hAnsiTheme="minorHAnsi" w:cstheme="minorHAnsi"/>
          <w:color w:val="000000" w:themeColor="text1"/>
          <w:szCs w:val="20"/>
        </w:rPr>
      </w:pPr>
    </w:p>
    <w:tbl>
      <w:tblPr>
        <w:tblW w:w="5001" w:type="pct"/>
        <w:tblLayout w:type="fixed"/>
        <w:tblLook w:val="0000" w:firstRow="0" w:lastRow="0" w:firstColumn="0" w:lastColumn="0" w:noHBand="0" w:noVBand="0"/>
      </w:tblPr>
      <w:tblGrid>
        <w:gridCol w:w="5529"/>
        <w:gridCol w:w="2456"/>
        <w:gridCol w:w="1654"/>
      </w:tblGrid>
      <w:tr w:rsidR="00DD2B27" w:rsidRPr="00DD2B27" w14:paraId="45276109" w14:textId="77777777" w:rsidTr="009A2B41">
        <w:trPr>
          <w:trHeight w:val="510"/>
          <w:tblHeader/>
        </w:trPr>
        <w:tc>
          <w:tcPr>
            <w:tcW w:w="2868" w:type="pct"/>
            <w:tcBorders>
              <w:left w:val="nil"/>
              <w:bottom w:val="single" w:sz="4" w:space="0" w:color="auto"/>
              <w:right w:val="nil"/>
            </w:tcBorders>
            <w:shd w:val="clear" w:color="auto" w:fill="FFFFFF"/>
            <w:noWrap/>
            <w:vAlign w:val="center"/>
          </w:tcPr>
          <w:p w14:paraId="2DA0BDAA" w14:textId="42790A1C" w:rsidR="005319BC" w:rsidRPr="00DD2B27" w:rsidRDefault="005319BC" w:rsidP="005319BC">
            <w:pPr>
              <w:widowControl w:val="0"/>
              <w:jc w:val="left"/>
              <w:rPr>
                <w:rFonts w:asciiTheme="minorHAnsi" w:hAnsiTheme="minorHAnsi" w:cstheme="minorHAnsi"/>
                <w:b/>
                <w:bCs/>
                <w:color w:val="000000" w:themeColor="text1"/>
                <w:szCs w:val="20"/>
              </w:rPr>
            </w:pPr>
            <w:r w:rsidRPr="00DD2B27">
              <w:rPr>
                <w:rFonts w:asciiTheme="minorHAnsi" w:hAnsiTheme="minorHAnsi" w:cstheme="minorHAnsi"/>
                <w:b/>
                <w:bCs/>
                <w:color w:val="000000" w:themeColor="text1"/>
                <w:szCs w:val="20"/>
              </w:rPr>
              <w:t>8.3 Податок на прибуток</w:t>
            </w:r>
          </w:p>
        </w:tc>
        <w:tc>
          <w:tcPr>
            <w:tcW w:w="1274" w:type="pct"/>
            <w:tcBorders>
              <w:left w:val="nil"/>
              <w:bottom w:val="single" w:sz="4" w:space="0" w:color="auto"/>
              <w:right w:val="nil"/>
            </w:tcBorders>
            <w:shd w:val="clear" w:color="auto" w:fill="FFFFFF"/>
            <w:vAlign w:val="center"/>
          </w:tcPr>
          <w:p w14:paraId="55C53146" w14:textId="77777777" w:rsidR="005319BC" w:rsidRPr="00DD2B27" w:rsidRDefault="005319BC" w:rsidP="006F2884">
            <w:pPr>
              <w:pStyle w:val="af7"/>
              <w:tabs>
                <w:tab w:val="left" w:pos="2305"/>
              </w:tabs>
              <w:spacing w:before="0" w:after="0"/>
              <w:ind w:left="228" w:hanging="228"/>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За рік, що</w:t>
            </w:r>
          </w:p>
          <w:p w14:paraId="0900277F"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 xml:space="preserve"> закінчився</w:t>
            </w:r>
          </w:p>
          <w:p w14:paraId="34D9D1D7" w14:textId="561B0335" w:rsidR="005319BC" w:rsidRPr="00DD2B27" w:rsidRDefault="005319BC" w:rsidP="006F2884">
            <w:pPr>
              <w:jc w:val="right"/>
              <w:rPr>
                <w:rFonts w:asciiTheme="minorHAnsi" w:hAnsiTheme="minorHAnsi" w:cstheme="minorHAnsi"/>
                <w:b/>
                <w:bCs/>
                <w:color w:val="000000" w:themeColor="text1"/>
                <w:szCs w:val="20"/>
              </w:rPr>
            </w:pPr>
            <w:r w:rsidRPr="00DD2B27">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20</w:t>
            </w:r>
          </w:p>
        </w:tc>
        <w:tc>
          <w:tcPr>
            <w:tcW w:w="858" w:type="pct"/>
            <w:tcBorders>
              <w:left w:val="nil"/>
              <w:bottom w:val="single" w:sz="4" w:space="0" w:color="auto"/>
              <w:right w:val="nil"/>
            </w:tcBorders>
            <w:shd w:val="clear" w:color="auto" w:fill="FFFFFF"/>
            <w:vAlign w:val="center"/>
          </w:tcPr>
          <w:p w14:paraId="4E3451AB"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За рік, що</w:t>
            </w:r>
          </w:p>
          <w:p w14:paraId="482DDAF9"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 xml:space="preserve"> закінчився</w:t>
            </w:r>
          </w:p>
          <w:p w14:paraId="4BACF45D" w14:textId="465C661A" w:rsidR="005319BC" w:rsidRPr="00DD2B27" w:rsidRDefault="005319BC" w:rsidP="006F2884">
            <w:pPr>
              <w:jc w:val="right"/>
              <w:rPr>
                <w:rFonts w:asciiTheme="minorHAnsi" w:hAnsiTheme="minorHAnsi" w:cstheme="minorHAnsi"/>
                <w:b/>
                <w:bCs/>
                <w:color w:val="000000" w:themeColor="text1"/>
                <w:szCs w:val="20"/>
              </w:rPr>
            </w:pPr>
            <w:r w:rsidRPr="00DD2B27">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19</w:t>
            </w:r>
          </w:p>
        </w:tc>
      </w:tr>
      <w:tr w:rsidR="006F2884" w:rsidRPr="00DD2B27" w14:paraId="1D12D856" w14:textId="77777777" w:rsidTr="009A2B41">
        <w:trPr>
          <w:trHeight w:val="255"/>
        </w:trPr>
        <w:tc>
          <w:tcPr>
            <w:tcW w:w="2868" w:type="pct"/>
            <w:tcBorders>
              <w:top w:val="single" w:sz="4" w:space="0" w:color="auto"/>
              <w:left w:val="nil"/>
              <w:bottom w:val="nil"/>
              <w:right w:val="nil"/>
            </w:tcBorders>
            <w:shd w:val="clear" w:color="auto" w:fill="FFFFFF"/>
            <w:noWrap/>
            <w:vAlign w:val="bottom"/>
          </w:tcPr>
          <w:p w14:paraId="12C27A87" w14:textId="77777777" w:rsidR="006F2884" w:rsidRPr="00DD2B27" w:rsidRDefault="006F2884" w:rsidP="006F2884">
            <w:pPr>
              <w:widowControl w:val="0"/>
              <w:jc w:val="left"/>
              <w:rPr>
                <w:rFonts w:asciiTheme="minorHAnsi" w:hAnsiTheme="minorHAnsi" w:cstheme="minorHAnsi"/>
                <w:color w:val="000000" w:themeColor="text1"/>
                <w:szCs w:val="20"/>
              </w:rPr>
            </w:pPr>
            <w:r w:rsidRPr="00DD2B27">
              <w:rPr>
                <w:rFonts w:asciiTheme="minorHAnsi" w:hAnsiTheme="minorHAnsi" w:cstheme="minorHAnsi"/>
                <w:color w:val="000000" w:themeColor="text1"/>
                <w:szCs w:val="20"/>
              </w:rPr>
              <w:t>Поточні витрати з податку на прибуток</w:t>
            </w:r>
          </w:p>
        </w:tc>
        <w:tc>
          <w:tcPr>
            <w:tcW w:w="1274" w:type="pct"/>
            <w:tcBorders>
              <w:top w:val="single" w:sz="4" w:space="0" w:color="auto"/>
              <w:left w:val="nil"/>
              <w:bottom w:val="nil"/>
              <w:right w:val="nil"/>
            </w:tcBorders>
            <w:shd w:val="clear" w:color="auto" w:fill="FFFFFF"/>
            <w:vAlign w:val="bottom"/>
          </w:tcPr>
          <w:p w14:paraId="49E341DE" w14:textId="4EE8019C" w:rsidR="006F2884" w:rsidRPr="005342AE" w:rsidRDefault="006F2884" w:rsidP="00FD3C37">
            <w:pPr>
              <w:jc w:val="right"/>
              <w:rPr>
                <w:rFonts w:asciiTheme="minorHAnsi" w:hAnsiTheme="minorHAnsi" w:cstheme="minorHAnsi"/>
                <w:color w:val="000000" w:themeColor="text1"/>
                <w:szCs w:val="20"/>
              </w:rPr>
            </w:pPr>
            <w:r w:rsidRPr="005342AE">
              <w:rPr>
                <w:color w:val="000000" w:themeColor="text1"/>
                <w:szCs w:val="20"/>
              </w:rPr>
              <w:t>(</w:t>
            </w:r>
            <w:r w:rsidR="005342AE" w:rsidRPr="005342AE">
              <w:rPr>
                <w:color w:val="000000" w:themeColor="text1"/>
                <w:szCs w:val="20"/>
              </w:rPr>
              <w:t>11 26</w:t>
            </w:r>
            <w:r w:rsidR="00FD3C37">
              <w:rPr>
                <w:color w:val="000000" w:themeColor="text1"/>
                <w:szCs w:val="20"/>
                <w:lang w:val="ru-RU"/>
              </w:rPr>
              <w:t>1</w:t>
            </w:r>
            <w:r w:rsidRPr="005342AE">
              <w:rPr>
                <w:color w:val="000000" w:themeColor="text1"/>
                <w:szCs w:val="20"/>
              </w:rPr>
              <w:t>)</w:t>
            </w:r>
          </w:p>
        </w:tc>
        <w:tc>
          <w:tcPr>
            <w:tcW w:w="858" w:type="pct"/>
            <w:tcBorders>
              <w:top w:val="single" w:sz="4" w:space="0" w:color="auto"/>
              <w:left w:val="nil"/>
              <w:bottom w:val="nil"/>
              <w:right w:val="nil"/>
            </w:tcBorders>
            <w:shd w:val="clear" w:color="auto" w:fill="FFFFFF"/>
            <w:vAlign w:val="bottom"/>
          </w:tcPr>
          <w:p w14:paraId="2E62BDA9" w14:textId="4EEA05D8" w:rsidR="006F2884" w:rsidRPr="00FC3D7B" w:rsidRDefault="006F2884" w:rsidP="006F2884">
            <w:pPr>
              <w:jc w:val="right"/>
              <w:rPr>
                <w:rFonts w:asciiTheme="minorHAnsi" w:hAnsiTheme="minorHAnsi" w:cstheme="minorHAnsi"/>
                <w:color w:val="auto"/>
                <w:szCs w:val="20"/>
              </w:rPr>
            </w:pPr>
            <w:r w:rsidRPr="00DD2B27">
              <w:rPr>
                <w:color w:val="000000" w:themeColor="text1"/>
                <w:szCs w:val="20"/>
              </w:rPr>
              <w:t>(22 130)</w:t>
            </w:r>
          </w:p>
        </w:tc>
      </w:tr>
      <w:tr w:rsidR="006F2884" w:rsidRPr="00DD2B27" w14:paraId="3001C7E3" w14:textId="77777777" w:rsidTr="009A2B41">
        <w:trPr>
          <w:trHeight w:val="255"/>
        </w:trPr>
        <w:tc>
          <w:tcPr>
            <w:tcW w:w="2868" w:type="pct"/>
            <w:tcBorders>
              <w:top w:val="nil"/>
              <w:left w:val="nil"/>
              <w:bottom w:val="single" w:sz="4" w:space="0" w:color="auto"/>
              <w:right w:val="nil"/>
            </w:tcBorders>
            <w:shd w:val="clear" w:color="auto" w:fill="FFFFFF"/>
            <w:noWrap/>
            <w:vAlign w:val="bottom"/>
          </w:tcPr>
          <w:p w14:paraId="770209D8" w14:textId="4CE522EA" w:rsidR="006F2884" w:rsidRPr="00DD2B27" w:rsidRDefault="006F2884" w:rsidP="006F2884">
            <w:pPr>
              <w:widowControl w:val="0"/>
              <w:jc w:val="left"/>
              <w:rPr>
                <w:rFonts w:asciiTheme="minorHAnsi" w:hAnsiTheme="minorHAnsi" w:cstheme="minorHAnsi"/>
                <w:bCs/>
                <w:color w:val="000000" w:themeColor="text1"/>
                <w:szCs w:val="20"/>
              </w:rPr>
            </w:pPr>
            <w:r w:rsidRPr="00DD2B27">
              <w:rPr>
                <w:rFonts w:asciiTheme="minorHAnsi" w:hAnsiTheme="minorHAnsi" w:cstheme="minorHAnsi"/>
                <w:bCs/>
                <w:color w:val="000000" w:themeColor="text1"/>
                <w:szCs w:val="20"/>
              </w:rPr>
              <w:t>Відстрочені податкові доходи (витрати) щодо тимчасових різниць</w:t>
            </w:r>
          </w:p>
        </w:tc>
        <w:tc>
          <w:tcPr>
            <w:tcW w:w="1274" w:type="pct"/>
            <w:tcBorders>
              <w:top w:val="nil"/>
              <w:left w:val="nil"/>
              <w:bottom w:val="single" w:sz="4" w:space="0" w:color="auto"/>
              <w:right w:val="nil"/>
            </w:tcBorders>
            <w:shd w:val="clear" w:color="auto" w:fill="FFFFFF"/>
            <w:vAlign w:val="bottom"/>
          </w:tcPr>
          <w:p w14:paraId="2440A2EC" w14:textId="3E2487C2" w:rsidR="006F2884" w:rsidRPr="005342AE" w:rsidRDefault="005342AE" w:rsidP="00FD3C37">
            <w:pPr>
              <w:jc w:val="right"/>
              <w:rPr>
                <w:rFonts w:asciiTheme="minorHAnsi" w:hAnsiTheme="minorHAnsi" w:cstheme="minorHAnsi"/>
                <w:color w:val="000000" w:themeColor="text1"/>
                <w:szCs w:val="20"/>
              </w:rPr>
            </w:pPr>
            <w:r w:rsidRPr="005342AE">
              <w:rPr>
                <w:color w:val="000000" w:themeColor="text1"/>
                <w:szCs w:val="20"/>
              </w:rPr>
              <w:t>64</w:t>
            </w:r>
            <w:r w:rsidR="00FD3C37">
              <w:rPr>
                <w:color w:val="000000" w:themeColor="text1"/>
                <w:szCs w:val="20"/>
                <w:lang w:val="ru-RU"/>
              </w:rPr>
              <w:t>0</w:t>
            </w:r>
            <w:r w:rsidR="006F2884" w:rsidRPr="005342AE">
              <w:rPr>
                <w:color w:val="000000" w:themeColor="text1"/>
                <w:szCs w:val="20"/>
              </w:rPr>
              <w:t xml:space="preserve"> </w:t>
            </w:r>
          </w:p>
        </w:tc>
        <w:tc>
          <w:tcPr>
            <w:tcW w:w="858" w:type="pct"/>
            <w:tcBorders>
              <w:top w:val="nil"/>
              <w:left w:val="nil"/>
              <w:bottom w:val="single" w:sz="4" w:space="0" w:color="auto"/>
              <w:right w:val="nil"/>
            </w:tcBorders>
            <w:shd w:val="clear" w:color="auto" w:fill="FFFFFF"/>
            <w:vAlign w:val="bottom"/>
          </w:tcPr>
          <w:p w14:paraId="5EB71086" w14:textId="2AE84379" w:rsidR="006F2884" w:rsidRPr="00DD2B27" w:rsidRDefault="006F2884" w:rsidP="006F2884">
            <w:pPr>
              <w:jc w:val="right"/>
              <w:rPr>
                <w:rFonts w:asciiTheme="minorHAnsi" w:hAnsiTheme="minorHAnsi" w:cstheme="minorHAnsi"/>
                <w:color w:val="000000" w:themeColor="text1"/>
                <w:szCs w:val="20"/>
              </w:rPr>
            </w:pPr>
            <w:r w:rsidRPr="00DD2B27">
              <w:rPr>
                <w:color w:val="000000" w:themeColor="text1"/>
                <w:szCs w:val="20"/>
              </w:rPr>
              <w:t xml:space="preserve">1 060 </w:t>
            </w:r>
          </w:p>
        </w:tc>
      </w:tr>
      <w:tr w:rsidR="006F2884" w:rsidRPr="00DD2B27" w14:paraId="4D118567" w14:textId="77777777" w:rsidTr="009A2B41">
        <w:trPr>
          <w:trHeight w:val="255"/>
        </w:trPr>
        <w:tc>
          <w:tcPr>
            <w:tcW w:w="2868" w:type="pct"/>
            <w:tcBorders>
              <w:top w:val="single" w:sz="4" w:space="0" w:color="auto"/>
              <w:left w:val="nil"/>
              <w:bottom w:val="nil"/>
              <w:right w:val="nil"/>
            </w:tcBorders>
            <w:shd w:val="clear" w:color="auto" w:fill="FFFFFF"/>
            <w:noWrap/>
            <w:vAlign w:val="bottom"/>
          </w:tcPr>
          <w:p w14:paraId="4F5E15D2" w14:textId="77777777" w:rsidR="006F2884" w:rsidRPr="00DD2B27" w:rsidRDefault="006F2884" w:rsidP="006F2884">
            <w:pPr>
              <w:widowControl w:val="0"/>
              <w:jc w:val="left"/>
              <w:rPr>
                <w:rFonts w:asciiTheme="minorHAnsi" w:hAnsiTheme="minorHAnsi" w:cstheme="minorHAnsi"/>
                <w:b/>
                <w:bCs/>
                <w:color w:val="000000" w:themeColor="text1"/>
                <w:szCs w:val="20"/>
              </w:rPr>
            </w:pPr>
            <w:r w:rsidRPr="00DD2B27">
              <w:rPr>
                <w:rFonts w:asciiTheme="minorHAnsi" w:hAnsiTheme="minorHAnsi" w:cstheme="minorHAnsi"/>
                <w:b/>
                <w:bCs/>
                <w:color w:val="000000" w:themeColor="text1"/>
                <w:szCs w:val="20"/>
              </w:rPr>
              <w:t xml:space="preserve">Разом: </w:t>
            </w:r>
          </w:p>
        </w:tc>
        <w:tc>
          <w:tcPr>
            <w:tcW w:w="1274" w:type="pct"/>
            <w:tcBorders>
              <w:top w:val="single" w:sz="4" w:space="0" w:color="auto"/>
              <w:left w:val="nil"/>
              <w:bottom w:val="nil"/>
              <w:right w:val="nil"/>
            </w:tcBorders>
            <w:shd w:val="clear" w:color="auto" w:fill="FFFFFF"/>
            <w:vAlign w:val="bottom"/>
          </w:tcPr>
          <w:p w14:paraId="677808A1" w14:textId="0000269D" w:rsidR="006F2884" w:rsidRPr="005342AE" w:rsidRDefault="006F2884" w:rsidP="005342AE">
            <w:pPr>
              <w:jc w:val="right"/>
              <w:rPr>
                <w:rFonts w:asciiTheme="minorHAnsi" w:hAnsiTheme="minorHAnsi" w:cstheme="minorHAnsi"/>
                <w:b/>
                <w:bCs/>
                <w:color w:val="000000" w:themeColor="text1"/>
                <w:szCs w:val="20"/>
              </w:rPr>
            </w:pPr>
            <w:r w:rsidRPr="005342AE">
              <w:rPr>
                <w:b/>
                <w:bCs/>
                <w:color w:val="000000" w:themeColor="text1"/>
                <w:szCs w:val="20"/>
              </w:rPr>
              <w:t>(</w:t>
            </w:r>
            <w:r w:rsidR="005342AE" w:rsidRPr="005342AE">
              <w:rPr>
                <w:b/>
                <w:bCs/>
                <w:color w:val="000000" w:themeColor="text1"/>
                <w:szCs w:val="20"/>
              </w:rPr>
              <w:t>10</w:t>
            </w:r>
            <w:r w:rsidRPr="005342AE">
              <w:rPr>
                <w:b/>
                <w:bCs/>
                <w:color w:val="000000" w:themeColor="text1"/>
                <w:szCs w:val="20"/>
              </w:rPr>
              <w:t xml:space="preserve"> </w:t>
            </w:r>
            <w:r w:rsidR="005342AE" w:rsidRPr="005342AE">
              <w:rPr>
                <w:b/>
                <w:bCs/>
                <w:color w:val="000000" w:themeColor="text1"/>
                <w:szCs w:val="20"/>
              </w:rPr>
              <w:t>621</w:t>
            </w:r>
            <w:r w:rsidRPr="005342AE">
              <w:rPr>
                <w:b/>
                <w:bCs/>
                <w:color w:val="000000" w:themeColor="text1"/>
                <w:szCs w:val="20"/>
              </w:rPr>
              <w:t>)</w:t>
            </w:r>
          </w:p>
        </w:tc>
        <w:tc>
          <w:tcPr>
            <w:tcW w:w="858" w:type="pct"/>
            <w:tcBorders>
              <w:top w:val="single" w:sz="4" w:space="0" w:color="auto"/>
              <w:left w:val="nil"/>
              <w:bottom w:val="nil"/>
              <w:right w:val="nil"/>
            </w:tcBorders>
            <w:shd w:val="clear" w:color="auto" w:fill="FFFFFF"/>
            <w:vAlign w:val="bottom"/>
          </w:tcPr>
          <w:p w14:paraId="02F0058C" w14:textId="30D0BAD8" w:rsidR="006F2884" w:rsidRPr="00FC3D7B" w:rsidRDefault="006F2884" w:rsidP="006F2884">
            <w:pPr>
              <w:jc w:val="right"/>
              <w:rPr>
                <w:rFonts w:asciiTheme="minorHAnsi" w:hAnsiTheme="minorHAnsi" w:cstheme="minorHAnsi"/>
                <w:b/>
                <w:bCs/>
                <w:color w:val="auto"/>
                <w:szCs w:val="20"/>
              </w:rPr>
            </w:pPr>
            <w:r w:rsidRPr="00FC3D7B">
              <w:rPr>
                <w:b/>
                <w:bCs/>
                <w:color w:val="000000" w:themeColor="text1"/>
                <w:szCs w:val="20"/>
              </w:rPr>
              <w:t>(21 070)</w:t>
            </w:r>
          </w:p>
        </w:tc>
      </w:tr>
    </w:tbl>
    <w:p w14:paraId="57059D8B" w14:textId="045987FD" w:rsidR="00033D47" w:rsidRPr="00DD2B27" w:rsidRDefault="00033D47" w:rsidP="0062384D">
      <w:pPr>
        <w:rPr>
          <w:rFonts w:asciiTheme="minorHAnsi" w:hAnsiTheme="minorHAnsi" w:cstheme="minorHAnsi"/>
          <w:color w:val="000000" w:themeColor="text1"/>
          <w:szCs w:val="20"/>
        </w:rPr>
      </w:pPr>
    </w:p>
    <w:tbl>
      <w:tblPr>
        <w:tblW w:w="4999" w:type="pct"/>
        <w:tblLayout w:type="fixed"/>
        <w:tblLook w:val="0000" w:firstRow="0" w:lastRow="0" w:firstColumn="0" w:lastColumn="0" w:noHBand="0" w:noVBand="0"/>
      </w:tblPr>
      <w:tblGrid>
        <w:gridCol w:w="5670"/>
        <w:gridCol w:w="2314"/>
        <w:gridCol w:w="1651"/>
      </w:tblGrid>
      <w:tr w:rsidR="00DD2B27" w:rsidRPr="00DD2B27" w14:paraId="07FD6D6F" w14:textId="77777777" w:rsidTr="009A2B41">
        <w:trPr>
          <w:trHeight w:val="510"/>
          <w:tblHeader/>
        </w:trPr>
        <w:tc>
          <w:tcPr>
            <w:tcW w:w="2942" w:type="pct"/>
            <w:tcBorders>
              <w:left w:val="nil"/>
              <w:bottom w:val="single" w:sz="4" w:space="0" w:color="auto"/>
              <w:right w:val="nil"/>
            </w:tcBorders>
            <w:shd w:val="clear" w:color="auto" w:fill="FFFFFF"/>
            <w:noWrap/>
            <w:vAlign w:val="center"/>
          </w:tcPr>
          <w:p w14:paraId="0D79C101" w14:textId="7EAF91C2" w:rsidR="005319BC" w:rsidRPr="00DD2B27" w:rsidRDefault="005319BC" w:rsidP="005319BC">
            <w:pPr>
              <w:autoSpaceDE w:val="0"/>
              <w:autoSpaceDN w:val="0"/>
              <w:adjustRightInd w:val="0"/>
              <w:jc w:val="left"/>
              <w:rPr>
                <w:rFonts w:ascii="Arial,Bold" w:hAnsi="Arial,Bold" w:cs="Arial,Bold"/>
                <w:b/>
                <w:bCs/>
                <w:color w:val="000000" w:themeColor="text1"/>
                <w:szCs w:val="20"/>
              </w:rPr>
            </w:pPr>
            <w:r w:rsidRPr="00DD2B27">
              <w:rPr>
                <w:b/>
                <w:bCs/>
                <w:color w:val="000000" w:themeColor="text1"/>
                <w:szCs w:val="20"/>
              </w:rPr>
              <w:t xml:space="preserve">8.4 </w:t>
            </w:r>
            <w:r w:rsidRPr="00DD2B27">
              <w:rPr>
                <w:rFonts w:ascii="Arial,Bold" w:hAnsi="Arial,Bold" w:cs="Arial,Bold"/>
                <w:b/>
                <w:bCs/>
                <w:color w:val="000000" w:themeColor="text1"/>
                <w:szCs w:val="20"/>
              </w:rPr>
              <w:t>Узгодження відрахувань з податку на прибуток</w:t>
            </w:r>
          </w:p>
        </w:tc>
        <w:tc>
          <w:tcPr>
            <w:tcW w:w="1201" w:type="pct"/>
            <w:tcBorders>
              <w:left w:val="nil"/>
              <w:bottom w:val="single" w:sz="4" w:space="0" w:color="auto"/>
              <w:right w:val="nil"/>
            </w:tcBorders>
            <w:shd w:val="clear" w:color="auto" w:fill="FFFFFF"/>
            <w:vAlign w:val="center"/>
          </w:tcPr>
          <w:p w14:paraId="6E5C0D83"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За рік, що</w:t>
            </w:r>
          </w:p>
          <w:p w14:paraId="5C7F5459"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 xml:space="preserve"> закінчився</w:t>
            </w:r>
          </w:p>
          <w:p w14:paraId="7E1F6A6F" w14:textId="469D8493" w:rsidR="005319BC" w:rsidRPr="00DD2B27" w:rsidRDefault="005319BC" w:rsidP="006F2884">
            <w:pPr>
              <w:jc w:val="right"/>
              <w:rPr>
                <w:b/>
                <w:bCs/>
                <w:color w:val="000000" w:themeColor="text1"/>
                <w:szCs w:val="20"/>
              </w:rPr>
            </w:pPr>
            <w:r w:rsidRPr="00DD2B27">
              <w:rPr>
                <w:rFonts w:asciiTheme="minorHAnsi" w:hAnsiTheme="minorHAnsi" w:cstheme="minorHAnsi"/>
                <w:b/>
                <w:color w:val="000000" w:themeColor="text1"/>
                <w:szCs w:val="20"/>
              </w:rPr>
              <w:t xml:space="preserve"> 31.12.20</w:t>
            </w:r>
            <w:r w:rsidR="006F2884">
              <w:rPr>
                <w:rFonts w:asciiTheme="minorHAnsi" w:hAnsiTheme="minorHAnsi" w:cstheme="minorHAnsi"/>
                <w:b/>
                <w:color w:val="000000" w:themeColor="text1"/>
                <w:szCs w:val="20"/>
              </w:rPr>
              <w:t>20</w:t>
            </w:r>
          </w:p>
        </w:tc>
        <w:tc>
          <w:tcPr>
            <w:tcW w:w="857" w:type="pct"/>
            <w:tcBorders>
              <w:left w:val="nil"/>
              <w:bottom w:val="single" w:sz="4" w:space="0" w:color="auto"/>
              <w:right w:val="nil"/>
            </w:tcBorders>
            <w:shd w:val="clear" w:color="auto" w:fill="FFFFFF"/>
            <w:vAlign w:val="center"/>
          </w:tcPr>
          <w:p w14:paraId="4F8D1204"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За рік, що</w:t>
            </w:r>
          </w:p>
          <w:p w14:paraId="71F911E5" w14:textId="77777777" w:rsidR="005319BC" w:rsidRPr="00DD2B27" w:rsidRDefault="005319BC" w:rsidP="005319BC">
            <w:pPr>
              <w:pStyle w:val="af7"/>
              <w:tabs>
                <w:tab w:val="left" w:pos="2305"/>
              </w:tabs>
              <w:spacing w:before="0" w:after="0"/>
              <w:jc w:val="right"/>
              <w:rPr>
                <w:rFonts w:asciiTheme="minorHAnsi" w:hAnsiTheme="minorHAnsi" w:cstheme="minorHAnsi"/>
                <w:b/>
                <w:color w:val="000000" w:themeColor="text1"/>
                <w:szCs w:val="20"/>
              </w:rPr>
            </w:pPr>
            <w:r w:rsidRPr="00DD2B27">
              <w:rPr>
                <w:rFonts w:asciiTheme="minorHAnsi" w:hAnsiTheme="minorHAnsi" w:cstheme="minorHAnsi"/>
                <w:b/>
                <w:color w:val="000000" w:themeColor="text1"/>
                <w:szCs w:val="20"/>
              </w:rPr>
              <w:t xml:space="preserve"> закінчився</w:t>
            </w:r>
          </w:p>
          <w:p w14:paraId="4865E48A" w14:textId="02C34DFE" w:rsidR="005319BC" w:rsidRPr="00DD2B27" w:rsidRDefault="005319BC" w:rsidP="006F2884">
            <w:pPr>
              <w:jc w:val="right"/>
              <w:rPr>
                <w:b/>
                <w:bCs/>
                <w:color w:val="000000" w:themeColor="text1"/>
                <w:szCs w:val="20"/>
              </w:rPr>
            </w:pPr>
            <w:r w:rsidRPr="00DD2B27">
              <w:rPr>
                <w:rFonts w:asciiTheme="minorHAnsi" w:hAnsiTheme="minorHAnsi" w:cstheme="minorHAnsi"/>
                <w:b/>
                <w:color w:val="000000" w:themeColor="text1"/>
                <w:szCs w:val="20"/>
              </w:rPr>
              <w:t xml:space="preserve"> 31.12.201</w:t>
            </w:r>
            <w:r w:rsidR="006F2884">
              <w:rPr>
                <w:rFonts w:asciiTheme="minorHAnsi" w:hAnsiTheme="minorHAnsi" w:cstheme="minorHAnsi"/>
                <w:b/>
                <w:color w:val="000000" w:themeColor="text1"/>
                <w:szCs w:val="20"/>
              </w:rPr>
              <w:t>9</w:t>
            </w:r>
          </w:p>
        </w:tc>
      </w:tr>
      <w:tr w:rsidR="006F2884" w:rsidRPr="009D3F10" w14:paraId="723198F5" w14:textId="77777777" w:rsidTr="009A2B41">
        <w:trPr>
          <w:trHeight w:val="255"/>
        </w:trPr>
        <w:tc>
          <w:tcPr>
            <w:tcW w:w="2942" w:type="pct"/>
            <w:tcBorders>
              <w:top w:val="single" w:sz="4" w:space="0" w:color="auto"/>
              <w:left w:val="nil"/>
              <w:bottom w:val="single" w:sz="4" w:space="0" w:color="auto"/>
              <w:right w:val="nil"/>
            </w:tcBorders>
            <w:shd w:val="clear" w:color="auto" w:fill="FFFFFF"/>
            <w:noWrap/>
            <w:vAlign w:val="bottom"/>
          </w:tcPr>
          <w:p w14:paraId="205BF300" w14:textId="77777777" w:rsidR="006F2884" w:rsidRPr="009D3F10" w:rsidRDefault="006F2884" w:rsidP="006F2884">
            <w:pPr>
              <w:jc w:val="left"/>
              <w:rPr>
                <w:color w:val="000000" w:themeColor="text1"/>
                <w:szCs w:val="20"/>
              </w:rPr>
            </w:pPr>
            <w:r w:rsidRPr="009D3F10">
              <w:rPr>
                <w:color w:val="000000" w:themeColor="text1"/>
                <w:szCs w:val="20"/>
              </w:rPr>
              <w:t>Прибуток (збиток) до оподаткування</w:t>
            </w:r>
          </w:p>
        </w:tc>
        <w:tc>
          <w:tcPr>
            <w:tcW w:w="1201" w:type="pct"/>
            <w:tcBorders>
              <w:top w:val="single" w:sz="4" w:space="0" w:color="auto"/>
              <w:left w:val="nil"/>
              <w:bottom w:val="single" w:sz="4" w:space="0" w:color="auto"/>
              <w:right w:val="nil"/>
            </w:tcBorders>
            <w:shd w:val="clear" w:color="auto" w:fill="FFFFFF"/>
            <w:vAlign w:val="bottom"/>
          </w:tcPr>
          <w:p w14:paraId="0285F8E8" w14:textId="00D78DDC" w:rsidR="006F2884" w:rsidRPr="009D3F10" w:rsidRDefault="009D3F10" w:rsidP="006F2884">
            <w:pPr>
              <w:widowControl w:val="0"/>
              <w:jc w:val="right"/>
              <w:rPr>
                <w:color w:val="000000" w:themeColor="text1"/>
                <w:szCs w:val="20"/>
              </w:rPr>
            </w:pPr>
            <w:r w:rsidRPr="009D3F10">
              <w:rPr>
                <w:color w:val="000000" w:themeColor="text1"/>
                <w:szCs w:val="20"/>
              </w:rPr>
              <w:t>43 953</w:t>
            </w:r>
            <w:r w:rsidR="006F2884" w:rsidRPr="009D3F10">
              <w:rPr>
                <w:color w:val="000000" w:themeColor="text1"/>
                <w:szCs w:val="20"/>
              </w:rPr>
              <w:t xml:space="preserve"> </w:t>
            </w:r>
          </w:p>
        </w:tc>
        <w:tc>
          <w:tcPr>
            <w:tcW w:w="857" w:type="pct"/>
            <w:tcBorders>
              <w:top w:val="single" w:sz="4" w:space="0" w:color="auto"/>
              <w:left w:val="nil"/>
              <w:bottom w:val="single" w:sz="4" w:space="0" w:color="auto"/>
              <w:right w:val="nil"/>
            </w:tcBorders>
            <w:shd w:val="clear" w:color="auto" w:fill="FFFFFF"/>
            <w:vAlign w:val="bottom"/>
          </w:tcPr>
          <w:p w14:paraId="68AA8EB5" w14:textId="3D6F8C02" w:rsidR="006F2884" w:rsidRPr="009D3F10" w:rsidRDefault="006F2884" w:rsidP="006F2884">
            <w:pPr>
              <w:widowControl w:val="0"/>
              <w:jc w:val="right"/>
              <w:rPr>
                <w:color w:val="000000" w:themeColor="text1"/>
                <w:szCs w:val="20"/>
              </w:rPr>
            </w:pPr>
            <w:r w:rsidRPr="009D3F10">
              <w:rPr>
                <w:color w:val="000000" w:themeColor="text1"/>
                <w:szCs w:val="20"/>
              </w:rPr>
              <w:t xml:space="preserve">110 484 </w:t>
            </w:r>
          </w:p>
        </w:tc>
      </w:tr>
      <w:tr w:rsidR="006F2884" w:rsidRPr="009D3F10" w14:paraId="0BEEAA5C" w14:textId="77777777" w:rsidTr="009A2B41">
        <w:trPr>
          <w:trHeight w:val="255"/>
        </w:trPr>
        <w:tc>
          <w:tcPr>
            <w:tcW w:w="2942" w:type="pct"/>
            <w:tcBorders>
              <w:top w:val="single" w:sz="4" w:space="0" w:color="auto"/>
              <w:left w:val="nil"/>
              <w:bottom w:val="nil"/>
              <w:right w:val="nil"/>
            </w:tcBorders>
            <w:shd w:val="clear" w:color="auto" w:fill="FFFFFF"/>
            <w:noWrap/>
            <w:vAlign w:val="bottom"/>
          </w:tcPr>
          <w:p w14:paraId="6DB1809B" w14:textId="77777777" w:rsidR="006F2884" w:rsidRPr="009D3F10" w:rsidRDefault="006F2884" w:rsidP="006F2884">
            <w:pPr>
              <w:jc w:val="left"/>
              <w:rPr>
                <w:color w:val="000000" w:themeColor="text1"/>
                <w:szCs w:val="20"/>
              </w:rPr>
            </w:pPr>
            <w:r w:rsidRPr="009D3F10">
              <w:rPr>
                <w:color w:val="000000" w:themeColor="text1"/>
                <w:szCs w:val="20"/>
              </w:rPr>
              <w:t>Теоретичний податок за нормативною ставкою 18%</w:t>
            </w:r>
          </w:p>
        </w:tc>
        <w:tc>
          <w:tcPr>
            <w:tcW w:w="1201" w:type="pct"/>
            <w:tcBorders>
              <w:top w:val="single" w:sz="4" w:space="0" w:color="auto"/>
              <w:left w:val="nil"/>
              <w:bottom w:val="nil"/>
              <w:right w:val="nil"/>
            </w:tcBorders>
            <w:shd w:val="clear" w:color="auto" w:fill="FFFFFF"/>
            <w:vAlign w:val="bottom"/>
          </w:tcPr>
          <w:p w14:paraId="4D9F9C9D" w14:textId="72D89698" w:rsidR="006F2884" w:rsidRPr="009D3F10" w:rsidRDefault="006F2884" w:rsidP="009D3F10">
            <w:pPr>
              <w:widowControl w:val="0"/>
              <w:jc w:val="right"/>
              <w:rPr>
                <w:color w:val="000000" w:themeColor="text1"/>
                <w:szCs w:val="20"/>
              </w:rPr>
            </w:pPr>
            <w:r w:rsidRPr="009D3F10">
              <w:rPr>
                <w:color w:val="000000" w:themeColor="text1"/>
                <w:szCs w:val="20"/>
              </w:rPr>
              <w:t>(</w:t>
            </w:r>
            <w:r w:rsidR="009D3F10" w:rsidRPr="009D3F10">
              <w:rPr>
                <w:color w:val="000000" w:themeColor="text1"/>
                <w:szCs w:val="20"/>
              </w:rPr>
              <w:t>7 912</w:t>
            </w:r>
            <w:r w:rsidRPr="009D3F10">
              <w:rPr>
                <w:color w:val="000000" w:themeColor="text1"/>
                <w:szCs w:val="20"/>
              </w:rPr>
              <w:t>)</w:t>
            </w:r>
          </w:p>
        </w:tc>
        <w:tc>
          <w:tcPr>
            <w:tcW w:w="857" w:type="pct"/>
            <w:tcBorders>
              <w:top w:val="single" w:sz="4" w:space="0" w:color="auto"/>
              <w:left w:val="nil"/>
              <w:bottom w:val="nil"/>
              <w:right w:val="nil"/>
            </w:tcBorders>
            <w:shd w:val="clear" w:color="auto" w:fill="FFFFFF"/>
            <w:vAlign w:val="bottom"/>
          </w:tcPr>
          <w:p w14:paraId="7F4818DC" w14:textId="6D812637" w:rsidR="006F2884" w:rsidRPr="009D3F10" w:rsidRDefault="006F2884" w:rsidP="006F2884">
            <w:pPr>
              <w:widowControl w:val="0"/>
              <w:jc w:val="right"/>
              <w:rPr>
                <w:color w:val="000000" w:themeColor="text1"/>
                <w:szCs w:val="20"/>
              </w:rPr>
            </w:pPr>
            <w:r w:rsidRPr="009D3F10">
              <w:rPr>
                <w:color w:val="000000" w:themeColor="text1"/>
                <w:szCs w:val="20"/>
              </w:rPr>
              <w:t>(19 887)</w:t>
            </w:r>
          </w:p>
        </w:tc>
      </w:tr>
      <w:tr w:rsidR="006F2884" w:rsidRPr="009D3F10" w14:paraId="0939597A" w14:textId="77777777" w:rsidTr="009A2B41">
        <w:trPr>
          <w:trHeight w:val="255"/>
        </w:trPr>
        <w:tc>
          <w:tcPr>
            <w:tcW w:w="2942" w:type="pct"/>
            <w:tcBorders>
              <w:left w:val="nil"/>
              <w:bottom w:val="nil"/>
              <w:right w:val="nil"/>
            </w:tcBorders>
            <w:shd w:val="clear" w:color="auto" w:fill="FFFFFF"/>
            <w:noWrap/>
            <w:vAlign w:val="bottom"/>
          </w:tcPr>
          <w:p w14:paraId="14485F21" w14:textId="0F315CB6" w:rsidR="006F2884" w:rsidRPr="009D3F10" w:rsidRDefault="006F2884" w:rsidP="006F2884">
            <w:pPr>
              <w:jc w:val="left"/>
              <w:rPr>
                <w:b/>
                <w:color w:val="000000" w:themeColor="text1"/>
                <w:szCs w:val="20"/>
              </w:rPr>
            </w:pPr>
            <w:r w:rsidRPr="009D3F10">
              <w:rPr>
                <w:b/>
                <w:color w:val="000000" w:themeColor="text1"/>
                <w:szCs w:val="20"/>
              </w:rPr>
              <w:t>Податковий ефект:</w:t>
            </w:r>
          </w:p>
        </w:tc>
        <w:tc>
          <w:tcPr>
            <w:tcW w:w="1201" w:type="pct"/>
            <w:tcBorders>
              <w:left w:val="nil"/>
              <w:bottom w:val="nil"/>
              <w:right w:val="nil"/>
            </w:tcBorders>
            <w:shd w:val="clear" w:color="auto" w:fill="FFFFFF"/>
            <w:vAlign w:val="bottom"/>
          </w:tcPr>
          <w:p w14:paraId="377638CD" w14:textId="77777777" w:rsidR="006F2884" w:rsidRPr="009D3F10" w:rsidRDefault="006F2884" w:rsidP="006F2884">
            <w:pPr>
              <w:widowControl w:val="0"/>
              <w:jc w:val="right"/>
              <w:rPr>
                <w:color w:val="000000" w:themeColor="text1"/>
                <w:szCs w:val="20"/>
              </w:rPr>
            </w:pPr>
          </w:p>
        </w:tc>
        <w:tc>
          <w:tcPr>
            <w:tcW w:w="857" w:type="pct"/>
            <w:tcBorders>
              <w:left w:val="nil"/>
              <w:bottom w:val="nil"/>
              <w:right w:val="nil"/>
            </w:tcBorders>
            <w:shd w:val="clear" w:color="auto" w:fill="FFFFFF"/>
            <w:vAlign w:val="bottom"/>
          </w:tcPr>
          <w:p w14:paraId="4D6DD2B5" w14:textId="77777777" w:rsidR="006F2884" w:rsidRPr="009D3F10" w:rsidRDefault="006F2884" w:rsidP="006F2884">
            <w:pPr>
              <w:widowControl w:val="0"/>
              <w:jc w:val="right"/>
              <w:rPr>
                <w:color w:val="000000" w:themeColor="text1"/>
                <w:szCs w:val="20"/>
              </w:rPr>
            </w:pPr>
          </w:p>
        </w:tc>
      </w:tr>
      <w:tr w:rsidR="006F2884" w:rsidRPr="009D3F10" w14:paraId="0346D1D2" w14:textId="77777777" w:rsidTr="009A2B41">
        <w:trPr>
          <w:trHeight w:val="255"/>
        </w:trPr>
        <w:tc>
          <w:tcPr>
            <w:tcW w:w="2942" w:type="pct"/>
            <w:tcBorders>
              <w:left w:val="nil"/>
              <w:bottom w:val="nil"/>
              <w:right w:val="nil"/>
            </w:tcBorders>
            <w:shd w:val="clear" w:color="auto" w:fill="FFFFFF"/>
            <w:noWrap/>
            <w:vAlign w:val="bottom"/>
          </w:tcPr>
          <w:p w14:paraId="5E0A3767" w14:textId="77777777" w:rsidR="006F2884" w:rsidRPr="009D3F10" w:rsidRDefault="006F2884" w:rsidP="006F2884">
            <w:pPr>
              <w:jc w:val="left"/>
              <w:rPr>
                <w:color w:val="000000" w:themeColor="text1"/>
                <w:szCs w:val="20"/>
              </w:rPr>
            </w:pPr>
            <w:r w:rsidRPr="009D3F10">
              <w:rPr>
                <w:color w:val="000000" w:themeColor="text1"/>
                <w:szCs w:val="20"/>
              </w:rPr>
              <w:t>Ефект від статей, що не є оподаткованими</w:t>
            </w:r>
          </w:p>
        </w:tc>
        <w:tc>
          <w:tcPr>
            <w:tcW w:w="1201" w:type="pct"/>
            <w:tcBorders>
              <w:left w:val="nil"/>
              <w:bottom w:val="nil"/>
              <w:right w:val="nil"/>
            </w:tcBorders>
            <w:shd w:val="clear" w:color="auto" w:fill="FFFFFF"/>
            <w:vAlign w:val="bottom"/>
          </w:tcPr>
          <w:p w14:paraId="48FC5C29" w14:textId="34FAEA7B" w:rsidR="006F2884" w:rsidRPr="009D3F10" w:rsidRDefault="006F2884" w:rsidP="009D3F10">
            <w:pPr>
              <w:widowControl w:val="0"/>
              <w:jc w:val="right"/>
              <w:rPr>
                <w:color w:val="000000" w:themeColor="text1"/>
                <w:szCs w:val="20"/>
              </w:rPr>
            </w:pPr>
            <w:r w:rsidRPr="009D3F10">
              <w:rPr>
                <w:color w:val="000000" w:themeColor="text1"/>
                <w:szCs w:val="20"/>
              </w:rPr>
              <w:t>(</w:t>
            </w:r>
            <w:r w:rsidR="009D3F10" w:rsidRPr="009D3F10">
              <w:rPr>
                <w:color w:val="000000" w:themeColor="text1"/>
                <w:szCs w:val="20"/>
              </w:rPr>
              <w:t>3 349</w:t>
            </w:r>
            <w:r w:rsidRPr="009D3F10">
              <w:rPr>
                <w:color w:val="000000" w:themeColor="text1"/>
                <w:szCs w:val="20"/>
              </w:rPr>
              <w:t>)</w:t>
            </w:r>
          </w:p>
        </w:tc>
        <w:tc>
          <w:tcPr>
            <w:tcW w:w="857" w:type="pct"/>
            <w:tcBorders>
              <w:left w:val="nil"/>
              <w:bottom w:val="nil"/>
              <w:right w:val="nil"/>
            </w:tcBorders>
            <w:shd w:val="clear" w:color="auto" w:fill="FFFFFF"/>
            <w:vAlign w:val="bottom"/>
          </w:tcPr>
          <w:p w14:paraId="14686065" w14:textId="45C7C095" w:rsidR="006F2884" w:rsidRPr="009D3F10" w:rsidRDefault="006F2884" w:rsidP="006F2884">
            <w:pPr>
              <w:widowControl w:val="0"/>
              <w:jc w:val="right"/>
              <w:rPr>
                <w:color w:val="000000" w:themeColor="text1"/>
                <w:szCs w:val="20"/>
              </w:rPr>
            </w:pPr>
            <w:r w:rsidRPr="009D3F10">
              <w:rPr>
                <w:color w:val="000000" w:themeColor="text1"/>
                <w:szCs w:val="20"/>
              </w:rPr>
              <w:t>(2 243)</w:t>
            </w:r>
          </w:p>
        </w:tc>
      </w:tr>
      <w:tr w:rsidR="006F2884" w:rsidRPr="009D3F10" w14:paraId="34833C43" w14:textId="77777777" w:rsidTr="009A2B41">
        <w:trPr>
          <w:trHeight w:val="255"/>
        </w:trPr>
        <w:tc>
          <w:tcPr>
            <w:tcW w:w="2942" w:type="pct"/>
            <w:tcBorders>
              <w:top w:val="nil"/>
              <w:left w:val="nil"/>
              <w:bottom w:val="single" w:sz="4" w:space="0" w:color="auto"/>
              <w:right w:val="nil"/>
            </w:tcBorders>
            <w:shd w:val="clear" w:color="auto" w:fill="FFFFFF"/>
            <w:noWrap/>
            <w:vAlign w:val="bottom"/>
          </w:tcPr>
          <w:p w14:paraId="4EEC1192" w14:textId="64946C15" w:rsidR="006F2884" w:rsidRPr="009D3F10" w:rsidRDefault="006F2884" w:rsidP="006F2884">
            <w:pPr>
              <w:jc w:val="left"/>
              <w:rPr>
                <w:color w:val="000000" w:themeColor="text1"/>
                <w:szCs w:val="20"/>
              </w:rPr>
            </w:pPr>
            <w:r w:rsidRPr="009D3F10">
              <w:rPr>
                <w:color w:val="000000" w:themeColor="text1"/>
                <w:szCs w:val="20"/>
              </w:rPr>
              <w:t>Відстрочені податкові доходи (витрати) щодо тимчасових різниць</w:t>
            </w:r>
          </w:p>
        </w:tc>
        <w:tc>
          <w:tcPr>
            <w:tcW w:w="1201" w:type="pct"/>
            <w:tcBorders>
              <w:top w:val="nil"/>
              <w:left w:val="nil"/>
              <w:bottom w:val="single" w:sz="4" w:space="0" w:color="auto"/>
              <w:right w:val="nil"/>
            </w:tcBorders>
            <w:shd w:val="clear" w:color="auto" w:fill="FFFFFF"/>
            <w:vAlign w:val="bottom"/>
          </w:tcPr>
          <w:p w14:paraId="516AF54B" w14:textId="67045DA6" w:rsidR="006F2884" w:rsidRPr="009D3F10" w:rsidRDefault="009D3F10" w:rsidP="006F2884">
            <w:pPr>
              <w:widowControl w:val="0"/>
              <w:jc w:val="right"/>
              <w:rPr>
                <w:bCs/>
                <w:color w:val="000000" w:themeColor="text1"/>
                <w:szCs w:val="20"/>
              </w:rPr>
            </w:pPr>
            <w:r w:rsidRPr="009D3F10">
              <w:rPr>
                <w:color w:val="000000" w:themeColor="text1"/>
                <w:szCs w:val="20"/>
              </w:rPr>
              <w:t>640</w:t>
            </w:r>
            <w:r w:rsidR="006F2884" w:rsidRPr="009D3F10">
              <w:rPr>
                <w:color w:val="000000" w:themeColor="text1"/>
                <w:szCs w:val="20"/>
              </w:rPr>
              <w:t xml:space="preserve"> </w:t>
            </w:r>
          </w:p>
        </w:tc>
        <w:tc>
          <w:tcPr>
            <w:tcW w:w="857" w:type="pct"/>
            <w:tcBorders>
              <w:top w:val="nil"/>
              <w:left w:val="nil"/>
              <w:bottom w:val="single" w:sz="4" w:space="0" w:color="auto"/>
              <w:right w:val="nil"/>
            </w:tcBorders>
            <w:shd w:val="clear" w:color="auto" w:fill="FFFFFF"/>
            <w:vAlign w:val="bottom"/>
          </w:tcPr>
          <w:p w14:paraId="0F511444" w14:textId="3006CE3E" w:rsidR="006F2884" w:rsidRPr="009D3F10" w:rsidRDefault="006F2884" w:rsidP="006F2884">
            <w:pPr>
              <w:widowControl w:val="0"/>
              <w:jc w:val="right"/>
              <w:rPr>
                <w:bCs/>
                <w:color w:val="000000" w:themeColor="text1"/>
                <w:szCs w:val="20"/>
              </w:rPr>
            </w:pPr>
            <w:r w:rsidRPr="009D3F10">
              <w:rPr>
                <w:color w:val="000000" w:themeColor="text1"/>
                <w:szCs w:val="20"/>
              </w:rPr>
              <w:t xml:space="preserve">1 060 </w:t>
            </w:r>
          </w:p>
        </w:tc>
      </w:tr>
      <w:tr w:rsidR="006F2884" w:rsidRPr="009D3F10" w14:paraId="21B41525" w14:textId="77777777" w:rsidTr="009A2B41">
        <w:trPr>
          <w:trHeight w:val="255"/>
        </w:trPr>
        <w:tc>
          <w:tcPr>
            <w:tcW w:w="2942" w:type="pct"/>
            <w:tcBorders>
              <w:top w:val="single" w:sz="4" w:space="0" w:color="auto"/>
              <w:left w:val="nil"/>
              <w:bottom w:val="nil"/>
              <w:right w:val="nil"/>
            </w:tcBorders>
            <w:shd w:val="clear" w:color="auto" w:fill="FFFFFF"/>
            <w:noWrap/>
            <w:vAlign w:val="bottom"/>
          </w:tcPr>
          <w:p w14:paraId="29AB9BBA" w14:textId="09816B7A" w:rsidR="006F2884" w:rsidRPr="009D3F10" w:rsidRDefault="006F2884" w:rsidP="006F2884">
            <w:pPr>
              <w:widowControl w:val="0"/>
              <w:jc w:val="left"/>
              <w:rPr>
                <w:b/>
                <w:bCs/>
                <w:color w:val="000000" w:themeColor="text1"/>
                <w:szCs w:val="20"/>
              </w:rPr>
            </w:pPr>
            <w:r w:rsidRPr="009D3F10">
              <w:rPr>
                <w:b/>
                <w:bCs/>
                <w:color w:val="000000" w:themeColor="text1"/>
                <w:szCs w:val="20"/>
              </w:rPr>
              <w:t xml:space="preserve">Доходи (витрати) з податку на прибуток </w:t>
            </w:r>
          </w:p>
        </w:tc>
        <w:tc>
          <w:tcPr>
            <w:tcW w:w="1201" w:type="pct"/>
            <w:tcBorders>
              <w:top w:val="single" w:sz="4" w:space="0" w:color="auto"/>
              <w:left w:val="nil"/>
              <w:bottom w:val="nil"/>
              <w:right w:val="nil"/>
            </w:tcBorders>
            <w:shd w:val="clear" w:color="auto" w:fill="FFFFFF"/>
            <w:vAlign w:val="bottom"/>
          </w:tcPr>
          <w:p w14:paraId="3781E9B1" w14:textId="66F0CFE4" w:rsidR="006F2884" w:rsidRPr="009D3F10" w:rsidRDefault="006F2884" w:rsidP="009D3F10">
            <w:pPr>
              <w:widowControl w:val="0"/>
              <w:jc w:val="right"/>
              <w:rPr>
                <w:b/>
                <w:color w:val="000000" w:themeColor="text1"/>
                <w:szCs w:val="20"/>
              </w:rPr>
            </w:pPr>
            <w:r w:rsidRPr="009D3F10">
              <w:rPr>
                <w:b/>
                <w:bCs/>
                <w:color w:val="000000" w:themeColor="text1"/>
                <w:szCs w:val="20"/>
              </w:rPr>
              <w:t>(</w:t>
            </w:r>
            <w:r w:rsidR="009D3F10" w:rsidRPr="009D3F10">
              <w:rPr>
                <w:b/>
                <w:bCs/>
                <w:color w:val="000000" w:themeColor="text1"/>
                <w:szCs w:val="20"/>
              </w:rPr>
              <w:t>10 621</w:t>
            </w:r>
            <w:r w:rsidRPr="009D3F10">
              <w:rPr>
                <w:b/>
                <w:bCs/>
                <w:color w:val="000000" w:themeColor="text1"/>
                <w:szCs w:val="20"/>
              </w:rPr>
              <w:t>)</w:t>
            </w:r>
          </w:p>
        </w:tc>
        <w:tc>
          <w:tcPr>
            <w:tcW w:w="857" w:type="pct"/>
            <w:tcBorders>
              <w:top w:val="single" w:sz="4" w:space="0" w:color="auto"/>
              <w:left w:val="nil"/>
              <w:bottom w:val="nil"/>
              <w:right w:val="nil"/>
            </w:tcBorders>
            <w:shd w:val="clear" w:color="auto" w:fill="FFFFFF"/>
            <w:vAlign w:val="bottom"/>
          </w:tcPr>
          <w:p w14:paraId="0DEEEAD8" w14:textId="29C8E980" w:rsidR="006F2884" w:rsidRPr="009D3F10" w:rsidRDefault="006F2884" w:rsidP="006F2884">
            <w:pPr>
              <w:widowControl w:val="0"/>
              <w:jc w:val="right"/>
              <w:rPr>
                <w:b/>
                <w:color w:val="000000" w:themeColor="text1"/>
                <w:szCs w:val="20"/>
              </w:rPr>
            </w:pPr>
            <w:r w:rsidRPr="009D3F10">
              <w:rPr>
                <w:b/>
                <w:bCs/>
                <w:color w:val="000000" w:themeColor="text1"/>
                <w:szCs w:val="20"/>
              </w:rPr>
              <w:t>(21 070)</w:t>
            </w:r>
          </w:p>
        </w:tc>
      </w:tr>
    </w:tbl>
    <w:p w14:paraId="149BFA85" w14:textId="16A778A2" w:rsidR="00920BA5" w:rsidRPr="009D3F10" w:rsidRDefault="00920BA5" w:rsidP="00F52C6F">
      <w:pPr>
        <w:spacing w:before="240" w:after="120"/>
        <w:rPr>
          <w:rFonts w:asciiTheme="minorHAnsi" w:hAnsiTheme="minorHAnsi" w:cstheme="minorHAnsi"/>
          <w:color w:val="000000" w:themeColor="text1"/>
          <w:szCs w:val="20"/>
        </w:rPr>
      </w:pPr>
      <w:r w:rsidRPr="009D3F10">
        <w:rPr>
          <w:rFonts w:asciiTheme="minorHAnsi" w:hAnsiTheme="minorHAnsi" w:cstheme="minorHAnsi"/>
          <w:color w:val="000000" w:themeColor="text1"/>
          <w:szCs w:val="20"/>
        </w:rPr>
        <w:t>Поточна заборгованість за податками обґрунтована господарською діяльністю Компанії.</w:t>
      </w:r>
      <w:r w:rsidR="00DA5B2B" w:rsidRPr="009D3F10">
        <w:rPr>
          <w:rFonts w:asciiTheme="minorHAnsi" w:hAnsiTheme="minorHAnsi" w:cstheme="minorHAnsi"/>
          <w:color w:val="000000" w:themeColor="text1"/>
          <w:szCs w:val="20"/>
        </w:rPr>
        <w:t xml:space="preserve"> Інші</w:t>
      </w:r>
      <w:r w:rsidR="00DA5B2B" w:rsidRPr="00DD2B27">
        <w:rPr>
          <w:rFonts w:asciiTheme="minorHAnsi" w:hAnsiTheme="minorHAnsi" w:cstheme="minorHAnsi"/>
          <w:color w:val="000000" w:themeColor="text1"/>
          <w:szCs w:val="20"/>
        </w:rPr>
        <w:t xml:space="preserve"> податки і збори включають розрахунки за акциз</w:t>
      </w:r>
      <w:r w:rsidR="003F3382" w:rsidRPr="00DD2B27">
        <w:rPr>
          <w:rFonts w:asciiTheme="minorHAnsi" w:hAnsiTheme="minorHAnsi" w:cstheme="minorHAnsi"/>
          <w:color w:val="000000" w:themeColor="text1"/>
          <w:szCs w:val="20"/>
        </w:rPr>
        <w:t>ним збо</w:t>
      </w:r>
      <w:r w:rsidR="00DA5B2B" w:rsidRPr="00DD2B27">
        <w:rPr>
          <w:rFonts w:asciiTheme="minorHAnsi" w:hAnsiTheme="minorHAnsi" w:cstheme="minorHAnsi"/>
          <w:color w:val="000000" w:themeColor="text1"/>
          <w:szCs w:val="20"/>
        </w:rPr>
        <w:t>р</w:t>
      </w:r>
      <w:r w:rsidR="003F3382" w:rsidRPr="00DD2B27">
        <w:rPr>
          <w:rFonts w:asciiTheme="minorHAnsi" w:hAnsiTheme="minorHAnsi" w:cstheme="minorHAnsi"/>
          <w:color w:val="000000" w:themeColor="text1"/>
          <w:szCs w:val="20"/>
        </w:rPr>
        <w:t>ом</w:t>
      </w:r>
      <w:r w:rsidR="00DA5B2B" w:rsidRPr="00DD2B27">
        <w:rPr>
          <w:rFonts w:asciiTheme="minorHAnsi" w:hAnsiTheme="minorHAnsi" w:cstheme="minorHAnsi"/>
          <w:color w:val="000000" w:themeColor="text1"/>
          <w:szCs w:val="20"/>
        </w:rPr>
        <w:t>, в</w:t>
      </w:r>
      <w:r w:rsidR="00DC710E" w:rsidRPr="00DD2B27">
        <w:rPr>
          <w:rFonts w:asciiTheme="minorHAnsi" w:hAnsiTheme="minorHAnsi" w:cstheme="minorHAnsi"/>
          <w:color w:val="000000" w:themeColor="text1"/>
          <w:szCs w:val="20"/>
        </w:rPr>
        <w:t>ійськовий</w:t>
      </w:r>
      <w:r w:rsidR="00DA5B2B" w:rsidRPr="00DD2B27">
        <w:rPr>
          <w:rFonts w:asciiTheme="minorHAnsi" w:hAnsiTheme="minorHAnsi" w:cstheme="minorHAnsi"/>
          <w:color w:val="000000" w:themeColor="text1"/>
          <w:szCs w:val="20"/>
        </w:rPr>
        <w:t xml:space="preserve"> збір, екологічний податок, збір за спеціальне використання води, плата за </w:t>
      </w:r>
      <w:r w:rsidR="00DA5B2B" w:rsidRPr="0025766A">
        <w:rPr>
          <w:rFonts w:asciiTheme="minorHAnsi" w:hAnsiTheme="minorHAnsi" w:cstheme="minorHAnsi"/>
          <w:color w:val="000000" w:themeColor="text1"/>
          <w:szCs w:val="20"/>
        </w:rPr>
        <w:t xml:space="preserve">користування надрами, </w:t>
      </w:r>
      <w:r w:rsidR="00DA5B2B" w:rsidRPr="009D3F10">
        <w:rPr>
          <w:rFonts w:asciiTheme="minorHAnsi" w:hAnsiTheme="minorHAnsi" w:cstheme="minorHAnsi"/>
          <w:color w:val="000000" w:themeColor="text1"/>
          <w:szCs w:val="20"/>
        </w:rPr>
        <w:t xml:space="preserve">податок на </w:t>
      </w:r>
      <w:r w:rsidR="008C3115" w:rsidRPr="009D3F10">
        <w:rPr>
          <w:rFonts w:asciiTheme="minorHAnsi" w:hAnsiTheme="minorHAnsi" w:cstheme="minorHAnsi"/>
          <w:color w:val="000000" w:themeColor="text1"/>
          <w:szCs w:val="20"/>
        </w:rPr>
        <w:t>майно</w:t>
      </w:r>
      <w:r w:rsidR="00DA5B2B" w:rsidRPr="009D3F10">
        <w:rPr>
          <w:rFonts w:asciiTheme="minorHAnsi" w:hAnsiTheme="minorHAnsi" w:cstheme="minorHAnsi"/>
          <w:color w:val="000000" w:themeColor="text1"/>
          <w:szCs w:val="20"/>
        </w:rPr>
        <w:t>, плата за землю</w:t>
      </w:r>
      <w:r w:rsidRPr="009D3F10">
        <w:rPr>
          <w:rFonts w:asciiTheme="minorHAnsi" w:hAnsiTheme="minorHAnsi" w:cstheme="minorHAnsi"/>
          <w:color w:val="000000" w:themeColor="text1"/>
          <w:szCs w:val="20"/>
        </w:rPr>
        <w:t>.</w:t>
      </w:r>
    </w:p>
    <w:p w14:paraId="3EE67E22" w14:textId="752C5D07" w:rsidR="00DB1347" w:rsidRPr="009D3F10" w:rsidRDefault="00920BA5" w:rsidP="002747FD">
      <w:pPr>
        <w:spacing w:before="120" w:after="120"/>
        <w:rPr>
          <w:rFonts w:asciiTheme="minorHAnsi" w:hAnsiTheme="minorHAnsi" w:cstheme="minorHAnsi"/>
          <w:color w:val="000000" w:themeColor="text1"/>
          <w:szCs w:val="20"/>
        </w:rPr>
      </w:pPr>
      <w:r w:rsidRPr="009D3F10">
        <w:rPr>
          <w:rFonts w:asciiTheme="minorHAnsi" w:hAnsiTheme="minorHAnsi" w:cstheme="minorHAnsi"/>
          <w:color w:val="000000" w:themeColor="text1"/>
          <w:szCs w:val="20"/>
        </w:rPr>
        <w:t>Податок на додану вартість розраховано і сплачено згідно податково</w:t>
      </w:r>
      <w:r w:rsidR="00F52C6F" w:rsidRPr="009D3F10">
        <w:rPr>
          <w:rFonts w:asciiTheme="minorHAnsi" w:hAnsiTheme="minorHAnsi" w:cstheme="minorHAnsi"/>
          <w:color w:val="000000" w:themeColor="text1"/>
          <w:szCs w:val="20"/>
        </w:rPr>
        <w:t>го</w:t>
      </w:r>
      <w:r w:rsidRPr="009D3F10">
        <w:rPr>
          <w:rFonts w:asciiTheme="minorHAnsi" w:hAnsiTheme="minorHAnsi" w:cstheme="minorHAnsi"/>
          <w:color w:val="000000" w:themeColor="text1"/>
          <w:szCs w:val="20"/>
        </w:rPr>
        <w:t xml:space="preserve"> законодавств</w:t>
      </w:r>
      <w:r w:rsidR="00F52C6F" w:rsidRPr="009D3F10">
        <w:rPr>
          <w:rFonts w:asciiTheme="minorHAnsi" w:hAnsiTheme="minorHAnsi" w:cstheme="minorHAnsi"/>
          <w:color w:val="000000" w:themeColor="text1"/>
          <w:szCs w:val="20"/>
        </w:rPr>
        <w:t>а</w:t>
      </w:r>
      <w:r w:rsidRPr="009D3F10">
        <w:rPr>
          <w:rFonts w:asciiTheme="minorHAnsi" w:hAnsiTheme="minorHAnsi" w:cstheme="minorHAnsi"/>
          <w:color w:val="000000" w:themeColor="text1"/>
          <w:szCs w:val="20"/>
        </w:rPr>
        <w:t xml:space="preserve"> України.</w:t>
      </w:r>
    </w:p>
    <w:p w14:paraId="2B81B293" w14:textId="77777777" w:rsidR="000A41E5" w:rsidRPr="009D3F10" w:rsidRDefault="00462939" w:rsidP="0062384D">
      <w:pPr>
        <w:pStyle w:val="1"/>
        <w:spacing w:before="240"/>
        <w:ind w:left="357" w:hanging="357"/>
        <w:rPr>
          <w:color w:val="000000" w:themeColor="text1"/>
          <w:szCs w:val="20"/>
        </w:rPr>
      </w:pPr>
      <w:bookmarkStart w:id="97" w:name="_Toc475007901"/>
      <w:bookmarkStart w:id="98" w:name="_Toc475522348"/>
      <w:bookmarkStart w:id="99" w:name="_Toc68253962"/>
      <w:r w:rsidRPr="009D3F10">
        <w:rPr>
          <w:color w:val="000000" w:themeColor="text1"/>
          <w:szCs w:val="20"/>
        </w:rPr>
        <w:t>Відстрочені податкові активи та відстрочені податкові зобов’язання</w:t>
      </w:r>
      <w:bookmarkEnd w:id="97"/>
      <w:bookmarkEnd w:id="98"/>
      <w:bookmarkEnd w:id="99"/>
    </w:p>
    <w:p w14:paraId="1D09423C" w14:textId="649A212E" w:rsidR="009D3F10" w:rsidRDefault="000A41E5" w:rsidP="000A41E5">
      <w:pPr>
        <w:spacing w:before="120" w:after="120"/>
        <w:rPr>
          <w:rFonts w:asciiTheme="minorHAnsi" w:hAnsiTheme="minorHAnsi" w:cstheme="minorHAnsi"/>
          <w:color w:val="000000" w:themeColor="text1"/>
          <w:szCs w:val="20"/>
        </w:rPr>
      </w:pPr>
      <w:r w:rsidRPr="009D3F10">
        <w:rPr>
          <w:rFonts w:asciiTheme="minorHAnsi" w:hAnsiTheme="minorHAnsi" w:cstheme="minorHAnsi"/>
          <w:color w:val="000000" w:themeColor="text1"/>
          <w:szCs w:val="20"/>
        </w:rPr>
        <w:t>Відстрочені податки були розраховані на всі тимчасові різниці з використанням ставки оподаткування у розмірі: 18%.</w:t>
      </w:r>
    </w:p>
    <w:p w14:paraId="1B3A7A69" w14:textId="77777777" w:rsidR="000A41E5" w:rsidRPr="009D3F10" w:rsidRDefault="000A41E5" w:rsidP="0062384D">
      <w:pPr>
        <w:spacing w:before="120"/>
        <w:rPr>
          <w:rFonts w:asciiTheme="minorHAnsi" w:hAnsiTheme="minorHAnsi" w:cstheme="minorHAnsi"/>
          <w:b/>
          <w:i/>
          <w:color w:val="000000" w:themeColor="text1"/>
          <w:szCs w:val="20"/>
        </w:rPr>
      </w:pPr>
      <w:r w:rsidRPr="009D3F10">
        <w:rPr>
          <w:rFonts w:asciiTheme="minorHAnsi" w:hAnsiTheme="minorHAnsi" w:cstheme="minorHAnsi"/>
          <w:b/>
          <w:i/>
          <w:color w:val="000000" w:themeColor="text1"/>
          <w:szCs w:val="20"/>
        </w:rPr>
        <w:t>Податковий ефект тимчасових різниць, який зменшує суму оподаткування:</w:t>
      </w:r>
    </w:p>
    <w:tbl>
      <w:tblPr>
        <w:tblW w:w="5000" w:type="pct"/>
        <w:tblLook w:val="0000" w:firstRow="0" w:lastRow="0" w:firstColumn="0" w:lastColumn="0" w:noHBand="0" w:noVBand="0"/>
      </w:tblPr>
      <w:tblGrid>
        <w:gridCol w:w="4831"/>
        <w:gridCol w:w="1217"/>
        <w:gridCol w:w="2372"/>
        <w:gridCol w:w="1217"/>
      </w:tblGrid>
      <w:tr w:rsidR="00A22CC4" w:rsidRPr="009D3F10" w14:paraId="6A54F8DE" w14:textId="77777777" w:rsidTr="0025766A">
        <w:trPr>
          <w:cantSplit/>
          <w:trHeight w:val="233"/>
          <w:tblHeader/>
        </w:trPr>
        <w:tc>
          <w:tcPr>
            <w:tcW w:w="2506" w:type="pct"/>
            <w:tcBorders>
              <w:bottom w:val="single" w:sz="4" w:space="0" w:color="auto"/>
            </w:tcBorders>
            <w:shd w:val="clear" w:color="auto" w:fill="auto"/>
            <w:vAlign w:val="center"/>
          </w:tcPr>
          <w:p w14:paraId="2D76C764" w14:textId="2A2258C9" w:rsidR="000A41E5" w:rsidRPr="009D3F10" w:rsidRDefault="00695F24" w:rsidP="009D3F10">
            <w:pPr>
              <w:jc w:val="lef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9</w:t>
            </w:r>
            <w:r w:rsidR="000A41E5" w:rsidRPr="009D3F10">
              <w:rPr>
                <w:rFonts w:asciiTheme="minorHAnsi" w:hAnsiTheme="minorHAnsi" w:cstheme="minorHAnsi"/>
                <w:b/>
                <w:color w:val="000000" w:themeColor="text1"/>
                <w:szCs w:val="20"/>
              </w:rPr>
              <w:t>.</w:t>
            </w:r>
            <w:r w:rsidR="009D3F10">
              <w:rPr>
                <w:rFonts w:asciiTheme="minorHAnsi" w:hAnsiTheme="minorHAnsi" w:cstheme="minorHAnsi"/>
                <w:b/>
                <w:color w:val="000000" w:themeColor="text1"/>
                <w:szCs w:val="20"/>
              </w:rPr>
              <w:t>1</w:t>
            </w:r>
            <w:r w:rsidR="000A41E5" w:rsidRPr="009D3F10">
              <w:rPr>
                <w:rFonts w:asciiTheme="minorHAnsi" w:hAnsiTheme="minorHAnsi" w:cstheme="minorHAnsi"/>
                <w:b/>
                <w:color w:val="000000" w:themeColor="text1"/>
                <w:szCs w:val="20"/>
              </w:rPr>
              <w:t xml:space="preserve"> Відстрочені</w:t>
            </w:r>
            <w:r w:rsidR="000A41E5" w:rsidRPr="009D3F10">
              <w:rPr>
                <w:rFonts w:asciiTheme="minorHAnsi" w:hAnsiTheme="minorHAnsi" w:cstheme="minorHAnsi"/>
                <w:b/>
                <w:color w:val="000000" w:themeColor="text1"/>
                <w:szCs w:val="20"/>
              </w:rPr>
              <w:br/>
              <w:t>податкові активи</w:t>
            </w:r>
          </w:p>
        </w:tc>
        <w:tc>
          <w:tcPr>
            <w:tcW w:w="631" w:type="pct"/>
            <w:tcBorders>
              <w:bottom w:val="single" w:sz="4" w:space="0" w:color="auto"/>
            </w:tcBorders>
            <w:shd w:val="clear" w:color="auto" w:fill="auto"/>
            <w:vAlign w:val="center"/>
          </w:tcPr>
          <w:p w14:paraId="40CC187A" w14:textId="3132AAC2" w:rsidR="000A41E5" w:rsidRPr="009D3F10" w:rsidRDefault="000A41E5" w:rsidP="0063622C">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31.12.</w:t>
            </w:r>
            <w:r w:rsidR="009E5D4D" w:rsidRPr="009D3F10">
              <w:rPr>
                <w:rFonts w:asciiTheme="minorHAnsi" w:hAnsiTheme="minorHAnsi" w:cstheme="minorHAnsi"/>
                <w:b/>
                <w:color w:val="000000" w:themeColor="text1"/>
                <w:szCs w:val="20"/>
              </w:rPr>
              <w:t>20</w:t>
            </w:r>
            <w:r w:rsidRPr="009D3F10">
              <w:rPr>
                <w:rFonts w:asciiTheme="minorHAnsi" w:hAnsiTheme="minorHAnsi" w:cstheme="minorHAnsi"/>
                <w:b/>
                <w:color w:val="000000" w:themeColor="text1"/>
                <w:szCs w:val="20"/>
              </w:rPr>
              <w:t>1</w:t>
            </w:r>
            <w:r w:rsidR="00E90597" w:rsidRPr="009D3F10">
              <w:rPr>
                <w:rFonts w:asciiTheme="minorHAnsi" w:hAnsiTheme="minorHAnsi" w:cstheme="minorHAnsi"/>
                <w:b/>
                <w:color w:val="000000" w:themeColor="text1"/>
                <w:szCs w:val="20"/>
              </w:rPr>
              <w:t>8</w:t>
            </w:r>
          </w:p>
        </w:tc>
        <w:tc>
          <w:tcPr>
            <w:tcW w:w="1231" w:type="pct"/>
            <w:tcBorders>
              <w:bottom w:val="single" w:sz="4" w:space="0" w:color="auto"/>
            </w:tcBorders>
            <w:shd w:val="clear" w:color="auto" w:fill="auto"/>
            <w:vAlign w:val="center"/>
          </w:tcPr>
          <w:p w14:paraId="70D3CF4B" w14:textId="77777777" w:rsidR="005F3ACF" w:rsidRPr="009D3F10" w:rsidRDefault="000A41E5" w:rsidP="005F3ACF">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 xml:space="preserve">Вплив на </w:t>
            </w:r>
          </w:p>
          <w:p w14:paraId="08C45B53" w14:textId="77777777" w:rsidR="000A41E5" w:rsidRPr="009D3F10" w:rsidRDefault="000A41E5" w:rsidP="005F3ACF">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прибуток чи збиток</w:t>
            </w:r>
          </w:p>
        </w:tc>
        <w:tc>
          <w:tcPr>
            <w:tcW w:w="631" w:type="pct"/>
            <w:tcBorders>
              <w:bottom w:val="single" w:sz="4" w:space="0" w:color="auto"/>
            </w:tcBorders>
            <w:shd w:val="clear" w:color="auto" w:fill="auto"/>
            <w:vAlign w:val="center"/>
          </w:tcPr>
          <w:p w14:paraId="6FF021FE" w14:textId="68B7F33F" w:rsidR="000A41E5" w:rsidRPr="009D3F10" w:rsidRDefault="000A41E5" w:rsidP="00C80D9F">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31.12.</w:t>
            </w:r>
            <w:r w:rsidR="009E5D4D" w:rsidRPr="009D3F10">
              <w:rPr>
                <w:rFonts w:asciiTheme="minorHAnsi" w:hAnsiTheme="minorHAnsi" w:cstheme="minorHAnsi"/>
                <w:b/>
                <w:color w:val="000000" w:themeColor="text1"/>
                <w:szCs w:val="20"/>
              </w:rPr>
              <w:t>20</w:t>
            </w:r>
            <w:r w:rsidRPr="009D3F10">
              <w:rPr>
                <w:rFonts w:asciiTheme="minorHAnsi" w:hAnsiTheme="minorHAnsi" w:cstheme="minorHAnsi"/>
                <w:b/>
                <w:color w:val="000000" w:themeColor="text1"/>
                <w:szCs w:val="20"/>
              </w:rPr>
              <w:t>1</w:t>
            </w:r>
            <w:r w:rsidR="00E90597" w:rsidRPr="009D3F10">
              <w:rPr>
                <w:rFonts w:asciiTheme="minorHAnsi" w:hAnsiTheme="minorHAnsi" w:cstheme="minorHAnsi"/>
                <w:b/>
                <w:color w:val="000000" w:themeColor="text1"/>
                <w:szCs w:val="20"/>
              </w:rPr>
              <w:t>9</w:t>
            </w:r>
          </w:p>
        </w:tc>
      </w:tr>
      <w:tr w:rsidR="0025766A" w:rsidRPr="009D3F10" w14:paraId="211127AE" w14:textId="77777777" w:rsidTr="00313E6C">
        <w:trPr>
          <w:cantSplit/>
          <w:trHeight w:val="255"/>
        </w:trPr>
        <w:tc>
          <w:tcPr>
            <w:tcW w:w="2506" w:type="pct"/>
            <w:shd w:val="clear" w:color="auto" w:fill="auto"/>
          </w:tcPr>
          <w:p w14:paraId="58DC568E" w14:textId="6509173E" w:rsidR="0025766A" w:rsidRPr="009D3F10" w:rsidRDefault="0025766A" w:rsidP="0025766A">
            <w:pPr>
              <w:jc w:val="left"/>
              <w:rPr>
                <w:rFonts w:asciiTheme="minorHAnsi" w:hAnsiTheme="minorHAnsi" w:cstheme="minorHAnsi"/>
                <w:color w:val="000000" w:themeColor="text1"/>
                <w:szCs w:val="20"/>
              </w:rPr>
            </w:pPr>
            <w:r w:rsidRPr="009D3F10">
              <w:rPr>
                <w:color w:val="000000" w:themeColor="text1"/>
                <w:szCs w:val="20"/>
              </w:rPr>
              <w:t>Основні засоби</w:t>
            </w:r>
          </w:p>
        </w:tc>
        <w:tc>
          <w:tcPr>
            <w:tcW w:w="631" w:type="pct"/>
            <w:shd w:val="clear" w:color="auto" w:fill="auto"/>
            <w:vAlign w:val="bottom"/>
          </w:tcPr>
          <w:p w14:paraId="17F173BC" w14:textId="391FEDB6"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2 531 </w:t>
            </w:r>
          </w:p>
        </w:tc>
        <w:tc>
          <w:tcPr>
            <w:tcW w:w="1231" w:type="pct"/>
            <w:tcBorders>
              <w:top w:val="single" w:sz="4" w:space="0" w:color="auto"/>
            </w:tcBorders>
            <w:shd w:val="clear" w:color="auto" w:fill="FFFFFF" w:themeFill="background1"/>
            <w:vAlign w:val="bottom"/>
          </w:tcPr>
          <w:p w14:paraId="24F1A739" w14:textId="1799962A"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(369)</w:t>
            </w:r>
          </w:p>
        </w:tc>
        <w:tc>
          <w:tcPr>
            <w:tcW w:w="631" w:type="pct"/>
            <w:tcBorders>
              <w:top w:val="single" w:sz="4" w:space="0" w:color="auto"/>
            </w:tcBorders>
            <w:shd w:val="clear" w:color="auto" w:fill="FFFFFF" w:themeFill="background1"/>
            <w:vAlign w:val="bottom"/>
          </w:tcPr>
          <w:p w14:paraId="65A90AD3" w14:textId="1942FC86"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2 162 </w:t>
            </w:r>
          </w:p>
        </w:tc>
      </w:tr>
      <w:tr w:rsidR="0025766A" w:rsidRPr="009D3F10" w14:paraId="6FF29B95" w14:textId="77777777" w:rsidTr="00313E6C">
        <w:trPr>
          <w:cantSplit/>
          <w:trHeight w:val="255"/>
        </w:trPr>
        <w:tc>
          <w:tcPr>
            <w:tcW w:w="2506" w:type="pct"/>
            <w:shd w:val="clear" w:color="auto" w:fill="auto"/>
          </w:tcPr>
          <w:p w14:paraId="435FD36D" w14:textId="28CD8FEC" w:rsidR="0025766A" w:rsidRPr="009D3F10" w:rsidRDefault="0025766A" w:rsidP="0025766A">
            <w:pPr>
              <w:jc w:val="left"/>
              <w:rPr>
                <w:rFonts w:asciiTheme="minorHAnsi" w:hAnsiTheme="minorHAnsi" w:cstheme="minorHAnsi"/>
                <w:color w:val="000000" w:themeColor="text1"/>
                <w:szCs w:val="20"/>
              </w:rPr>
            </w:pPr>
            <w:r w:rsidRPr="009D3F10">
              <w:rPr>
                <w:color w:val="000000" w:themeColor="text1"/>
                <w:szCs w:val="20"/>
              </w:rPr>
              <w:t>Нематеріальні активи</w:t>
            </w:r>
          </w:p>
        </w:tc>
        <w:tc>
          <w:tcPr>
            <w:tcW w:w="631" w:type="pct"/>
            <w:shd w:val="clear" w:color="auto" w:fill="auto"/>
            <w:vAlign w:val="bottom"/>
          </w:tcPr>
          <w:p w14:paraId="4E3ED65C" w14:textId="099FCEF9"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  </w:t>
            </w:r>
          </w:p>
        </w:tc>
        <w:tc>
          <w:tcPr>
            <w:tcW w:w="1231" w:type="pct"/>
            <w:shd w:val="clear" w:color="auto" w:fill="FFFFFF" w:themeFill="background1"/>
            <w:vAlign w:val="bottom"/>
          </w:tcPr>
          <w:p w14:paraId="5BB2787D" w14:textId="2046E01A"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56 </w:t>
            </w:r>
          </w:p>
        </w:tc>
        <w:tc>
          <w:tcPr>
            <w:tcW w:w="631" w:type="pct"/>
            <w:shd w:val="clear" w:color="auto" w:fill="FFFFFF" w:themeFill="background1"/>
            <w:vAlign w:val="bottom"/>
          </w:tcPr>
          <w:p w14:paraId="68C530EB" w14:textId="5A101A56"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56 </w:t>
            </w:r>
          </w:p>
        </w:tc>
      </w:tr>
      <w:tr w:rsidR="0025766A" w:rsidRPr="009D3F10" w14:paraId="4467F499" w14:textId="77777777" w:rsidTr="00313E6C">
        <w:trPr>
          <w:cantSplit/>
          <w:trHeight w:val="255"/>
        </w:trPr>
        <w:tc>
          <w:tcPr>
            <w:tcW w:w="2506" w:type="pct"/>
            <w:tcBorders>
              <w:bottom w:val="single" w:sz="4" w:space="0" w:color="auto"/>
            </w:tcBorders>
            <w:shd w:val="clear" w:color="auto" w:fill="auto"/>
          </w:tcPr>
          <w:p w14:paraId="048918B0" w14:textId="20619FBB" w:rsidR="0025766A" w:rsidRPr="009D3F10" w:rsidRDefault="0025766A" w:rsidP="0025766A">
            <w:pPr>
              <w:jc w:val="left"/>
              <w:rPr>
                <w:rFonts w:asciiTheme="minorHAnsi" w:hAnsiTheme="minorHAnsi" w:cstheme="minorHAnsi"/>
                <w:color w:val="000000" w:themeColor="text1"/>
                <w:szCs w:val="20"/>
              </w:rPr>
            </w:pPr>
            <w:r w:rsidRPr="009D3F10">
              <w:rPr>
                <w:color w:val="000000" w:themeColor="text1"/>
                <w:szCs w:val="20"/>
              </w:rPr>
              <w:t>Запаси (резерв знецінення)</w:t>
            </w:r>
          </w:p>
        </w:tc>
        <w:tc>
          <w:tcPr>
            <w:tcW w:w="631" w:type="pct"/>
            <w:tcBorders>
              <w:bottom w:val="single" w:sz="4" w:space="0" w:color="auto"/>
            </w:tcBorders>
            <w:shd w:val="clear" w:color="auto" w:fill="auto"/>
            <w:vAlign w:val="bottom"/>
          </w:tcPr>
          <w:p w14:paraId="1A84DD19" w14:textId="26F7597F"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  </w:t>
            </w:r>
          </w:p>
        </w:tc>
        <w:tc>
          <w:tcPr>
            <w:tcW w:w="1231" w:type="pct"/>
            <w:shd w:val="clear" w:color="auto" w:fill="FFFFFF" w:themeFill="background1"/>
            <w:vAlign w:val="bottom"/>
          </w:tcPr>
          <w:p w14:paraId="7622D4A8" w14:textId="49E5B568"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1 364 </w:t>
            </w:r>
          </w:p>
        </w:tc>
        <w:tc>
          <w:tcPr>
            <w:tcW w:w="631" w:type="pct"/>
            <w:shd w:val="clear" w:color="auto" w:fill="FFFFFF" w:themeFill="background1"/>
            <w:vAlign w:val="bottom"/>
          </w:tcPr>
          <w:p w14:paraId="3145234C" w14:textId="543CB1F1" w:rsidR="0025766A" w:rsidRPr="009D3F10" w:rsidRDefault="0025766A" w:rsidP="0025766A">
            <w:pPr>
              <w:jc w:val="right"/>
              <w:rPr>
                <w:rFonts w:asciiTheme="minorHAnsi" w:hAnsiTheme="minorHAnsi" w:cstheme="minorHAnsi"/>
                <w:color w:val="000000" w:themeColor="text1"/>
                <w:szCs w:val="20"/>
              </w:rPr>
            </w:pPr>
            <w:r w:rsidRPr="009D3F10">
              <w:rPr>
                <w:color w:val="000000" w:themeColor="text1"/>
                <w:szCs w:val="20"/>
              </w:rPr>
              <w:t xml:space="preserve">1 364 </w:t>
            </w:r>
          </w:p>
        </w:tc>
      </w:tr>
      <w:tr w:rsidR="00EE16E0" w:rsidRPr="009D3F10" w14:paraId="4F980330" w14:textId="77777777" w:rsidTr="0025766A">
        <w:trPr>
          <w:cantSplit/>
          <w:trHeight w:val="255"/>
        </w:trPr>
        <w:tc>
          <w:tcPr>
            <w:tcW w:w="2506" w:type="pct"/>
            <w:tcBorders>
              <w:top w:val="single" w:sz="4" w:space="0" w:color="auto"/>
            </w:tcBorders>
            <w:shd w:val="clear" w:color="auto" w:fill="auto"/>
            <w:vAlign w:val="bottom"/>
          </w:tcPr>
          <w:p w14:paraId="2A2C0EB0" w14:textId="77777777" w:rsidR="00EE16E0" w:rsidRPr="009D3F10" w:rsidRDefault="00EE16E0" w:rsidP="00EE16E0">
            <w:pPr>
              <w:jc w:val="lef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Разом відстроченого податкового активу</w:t>
            </w:r>
          </w:p>
        </w:tc>
        <w:tc>
          <w:tcPr>
            <w:tcW w:w="631" w:type="pct"/>
            <w:tcBorders>
              <w:top w:val="single" w:sz="4" w:space="0" w:color="auto"/>
            </w:tcBorders>
            <w:shd w:val="clear" w:color="auto" w:fill="auto"/>
            <w:vAlign w:val="bottom"/>
          </w:tcPr>
          <w:p w14:paraId="773C2C8F" w14:textId="46344E45" w:rsidR="00EE16E0" w:rsidRPr="009D3F10" w:rsidRDefault="00EE16E0" w:rsidP="00EE16E0">
            <w:pPr>
              <w:jc w:val="right"/>
              <w:rPr>
                <w:rFonts w:asciiTheme="minorHAnsi" w:hAnsiTheme="minorHAnsi" w:cstheme="minorHAnsi"/>
                <w:b/>
                <w:bCs/>
                <w:color w:val="000000" w:themeColor="text1"/>
                <w:szCs w:val="20"/>
              </w:rPr>
            </w:pPr>
            <w:r w:rsidRPr="009D3F10">
              <w:rPr>
                <w:b/>
                <w:bCs/>
                <w:color w:val="000000" w:themeColor="text1"/>
                <w:szCs w:val="20"/>
              </w:rPr>
              <w:t xml:space="preserve">2 531 </w:t>
            </w:r>
          </w:p>
        </w:tc>
        <w:tc>
          <w:tcPr>
            <w:tcW w:w="1231" w:type="pct"/>
            <w:tcBorders>
              <w:top w:val="single" w:sz="4" w:space="0" w:color="auto"/>
            </w:tcBorders>
            <w:shd w:val="clear" w:color="auto" w:fill="FFFFFF" w:themeFill="background1"/>
            <w:vAlign w:val="bottom"/>
          </w:tcPr>
          <w:p w14:paraId="5A8653BF" w14:textId="323BE9FA" w:rsidR="00EE16E0" w:rsidRPr="009D3F10" w:rsidRDefault="00EE16E0" w:rsidP="00EE16E0">
            <w:pPr>
              <w:jc w:val="right"/>
              <w:rPr>
                <w:rFonts w:asciiTheme="minorHAnsi" w:hAnsiTheme="minorHAnsi" w:cstheme="minorHAnsi"/>
                <w:b/>
                <w:bCs/>
                <w:color w:val="000000" w:themeColor="text1"/>
                <w:szCs w:val="20"/>
              </w:rPr>
            </w:pPr>
            <w:r w:rsidRPr="009D3F10">
              <w:rPr>
                <w:b/>
                <w:bCs/>
                <w:color w:val="000000" w:themeColor="text1"/>
                <w:szCs w:val="20"/>
              </w:rPr>
              <w:t xml:space="preserve">1 051 </w:t>
            </w:r>
          </w:p>
        </w:tc>
        <w:tc>
          <w:tcPr>
            <w:tcW w:w="631" w:type="pct"/>
            <w:tcBorders>
              <w:top w:val="single" w:sz="4" w:space="0" w:color="auto"/>
            </w:tcBorders>
            <w:shd w:val="clear" w:color="auto" w:fill="FFFFFF" w:themeFill="background1"/>
            <w:vAlign w:val="bottom"/>
          </w:tcPr>
          <w:p w14:paraId="6E47B281" w14:textId="7608F553" w:rsidR="00EE16E0" w:rsidRPr="009D3F10" w:rsidRDefault="00EE16E0" w:rsidP="00EE16E0">
            <w:pPr>
              <w:jc w:val="right"/>
              <w:rPr>
                <w:rFonts w:asciiTheme="minorHAnsi" w:hAnsiTheme="minorHAnsi" w:cstheme="minorHAnsi"/>
                <w:b/>
                <w:bCs/>
                <w:color w:val="000000" w:themeColor="text1"/>
                <w:szCs w:val="20"/>
              </w:rPr>
            </w:pPr>
            <w:r w:rsidRPr="009D3F10">
              <w:rPr>
                <w:b/>
                <w:bCs/>
                <w:color w:val="000000" w:themeColor="text1"/>
                <w:szCs w:val="20"/>
              </w:rPr>
              <w:t xml:space="preserve">3 582 </w:t>
            </w:r>
          </w:p>
        </w:tc>
      </w:tr>
    </w:tbl>
    <w:p w14:paraId="15BF19E3" w14:textId="77777777" w:rsidR="000A41E5" w:rsidRPr="009D3F10" w:rsidRDefault="000A41E5" w:rsidP="00591313">
      <w:pPr>
        <w:spacing w:before="120" w:after="120"/>
        <w:rPr>
          <w:rFonts w:asciiTheme="minorHAnsi" w:hAnsiTheme="minorHAnsi" w:cstheme="minorHAnsi"/>
          <w:b/>
          <w:i/>
          <w:color w:val="000000" w:themeColor="text1"/>
          <w:szCs w:val="20"/>
        </w:rPr>
      </w:pPr>
      <w:r w:rsidRPr="009D3F10">
        <w:rPr>
          <w:rFonts w:asciiTheme="minorHAnsi" w:hAnsiTheme="minorHAnsi" w:cstheme="minorHAnsi"/>
          <w:b/>
          <w:i/>
          <w:color w:val="000000" w:themeColor="text1"/>
          <w:szCs w:val="20"/>
        </w:rPr>
        <w:t>Податковий ефект тимчасових різниць, який збільшує суму оподаткування:</w:t>
      </w:r>
    </w:p>
    <w:tbl>
      <w:tblPr>
        <w:tblW w:w="5000" w:type="pct"/>
        <w:tblLook w:val="0000" w:firstRow="0" w:lastRow="0" w:firstColumn="0" w:lastColumn="0" w:noHBand="0" w:noVBand="0"/>
      </w:tblPr>
      <w:tblGrid>
        <w:gridCol w:w="4809"/>
        <w:gridCol w:w="1217"/>
        <w:gridCol w:w="2394"/>
        <w:gridCol w:w="1217"/>
      </w:tblGrid>
      <w:tr w:rsidR="00EE16E0" w:rsidRPr="009D3F10" w14:paraId="21260008" w14:textId="77777777" w:rsidTr="00591313">
        <w:trPr>
          <w:cantSplit/>
          <w:trHeight w:val="295"/>
          <w:tblHeader/>
        </w:trPr>
        <w:tc>
          <w:tcPr>
            <w:tcW w:w="2495" w:type="pct"/>
            <w:tcBorders>
              <w:bottom w:val="single" w:sz="4" w:space="0" w:color="auto"/>
            </w:tcBorders>
            <w:shd w:val="clear" w:color="auto" w:fill="auto"/>
            <w:vAlign w:val="center"/>
          </w:tcPr>
          <w:p w14:paraId="5F50DDF3" w14:textId="7BEF3DBF" w:rsidR="00E90597" w:rsidRPr="009D3F10" w:rsidRDefault="00E90597" w:rsidP="009D3F10">
            <w:pPr>
              <w:jc w:val="lef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lastRenderedPageBreak/>
              <w:t>9.</w:t>
            </w:r>
            <w:r w:rsidR="009D3F10">
              <w:rPr>
                <w:rFonts w:asciiTheme="minorHAnsi" w:hAnsiTheme="minorHAnsi" w:cstheme="minorHAnsi"/>
                <w:b/>
                <w:color w:val="000000" w:themeColor="text1"/>
                <w:szCs w:val="20"/>
              </w:rPr>
              <w:t>2</w:t>
            </w:r>
            <w:r w:rsidRPr="009D3F10">
              <w:rPr>
                <w:rFonts w:asciiTheme="minorHAnsi" w:hAnsiTheme="minorHAnsi" w:cstheme="minorHAnsi"/>
                <w:b/>
                <w:color w:val="000000" w:themeColor="text1"/>
                <w:szCs w:val="20"/>
              </w:rPr>
              <w:t xml:space="preserve"> Відстрочені</w:t>
            </w:r>
            <w:r w:rsidRPr="009D3F10">
              <w:rPr>
                <w:rFonts w:asciiTheme="minorHAnsi" w:hAnsiTheme="minorHAnsi" w:cstheme="minorHAnsi"/>
                <w:b/>
                <w:color w:val="000000" w:themeColor="text1"/>
                <w:szCs w:val="20"/>
              </w:rPr>
              <w:br/>
              <w:t>податкові зобов’язання</w:t>
            </w:r>
          </w:p>
        </w:tc>
        <w:tc>
          <w:tcPr>
            <w:tcW w:w="631" w:type="pct"/>
            <w:tcBorders>
              <w:bottom w:val="single" w:sz="4" w:space="0" w:color="auto"/>
            </w:tcBorders>
            <w:shd w:val="clear" w:color="auto" w:fill="auto"/>
            <w:vAlign w:val="center"/>
          </w:tcPr>
          <w:p w14:paraId="3C5F8DDE" w14:textId="23BD5499" w:rsidR="00E90597" w:rsidRPr="009D3F10" w:rsidRDefault="00E90597" w:rsidP="00E90597">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31.12.2018</w:t>
            </w:r>
          </w:p>
        </w:tc>
        <w:tc>
          <w:tcPr>
            <w:tcW w:w="1242" w:type="pct"/>
            <w:tcBorders>
              <w:bottom w:val="single" w:sz="4" w:space="0" w:color="auto"/>
            </w:tcBorders>
            <w:shd w:val="clear" w:color="auto" w:fill="auto"/>
            <w:vAlign w:val="center"/>
          </w:tcPr>
          <w:p w14:paraId="477F94DB" w14:textId="77777777" w:rsidR="00E90597" w:rsidRPr="009D3F10" w:rsidRDefault="00E90597" w:rsidP="00E90597">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 xml:space="preserve">Вплив на </w:t>
            </w:r>
          </w:p>
          <w:p w14:paraId="762BA255" w14:textId="047E7E63" w:rsidR="00E90597" w:rsidRPr="009D3F10" w:rsidRDefault="00E90597" w:rsidP="00E90597">
            <w:pPr>
              <w:jc w:val="right"/>
              <w:rPr>
                <w:rFonts w:asciiTheme="minorHAnsi" w:hAnsiTheme="minorHAnsi" w:cstheme="minorHAnsi"/>
                <w:b/>
                <w:color w:val="000000" w:themeColor="text1"/>
                <w:szCs w:val="20"/>
              </w:rPr>
            </w:pPr>
            <w:r w:rsidRPr="009D3F10">
              <w:rPr>
                <w:rFonts w:asciiTheme="minorHAnsi" w:hAnsiTheme="minorHAnsi" w:cstheme="minorHAnsi"/>
                <w:b/>
                <w:color w:val="000000" w:themeColor="text1"/>
                <w:szCs w:val="20"/>
              </w:rPr>
              <w:t>прибуток чи збиток</w:t>
            </w:r>
          </w:p>
        </w:tc>
        <w:tc>
          <w:tcPr>
            <w:tcW w:w="631" w:type="pct"/>
            <w:tcBorders>
              <w:bottom w:val="single" w:sz="4" w:space="0" w:color="auto"/>
            </w:tcBorders>
            <w:shd w:val="clear" w:color="auto" w:fill="auto"/>
            <w:vAlign w:val="center"/>
          </w:tcPr>
          <w:p w14:paraId="02FF8F38" w14:textId="0182FEA1" w:rsidR="00E90597" w:rsidRPr="009D3F10" w:rsidRDefault="00E90597" w:rsidP="00F07880">
            <w:pPr>
              <w:jc w:val="right"/>
              <w:rPr>
                <w:rFonts w:asciiTheme="minorHAnsi" w:hAnsiTheme="minorHAnsi" w:cstheme="minorHAnsi"/>
                <w:b/>
                <w:color w:val="000000" w:themeColor="text1"/>
                <w:szCs w:val="20"/>
                <w:lang w:val="ru-RU"/>
              </w:rPr>
            </w:pPr>
            <w:r w:rsidRPr="009D3F10">
              <w:rPr>
                <w:rFonts w:asciiTheme="minorHAnsi" w:hAnsiTheme="minorHAnsi" w:cstheme="minorHAnsi"/>
                <w:b/>
                <w:color w:val="000000" w:themeColor="text1"/>
                <w:szCs w:val="20"/>
              </w:rPr>
              <w:t>31.12.2</w:t>
            </w:r>
            <w:r w:rsidR="00F07880" w:rsidRPr="009D3F10">
              <w:rPr>
                <w:rFonts w:asciiTheme="minorHAnsi" w:hAnsiTheme="minorHAnsi" w:cstheme="minorHAnsi"/>
                <w:b/>
                <w:color w:val="000000" w:themeColor="text1"/>
                <w:szCs w:val="20"/>
                <w:lang w:val="ru-RU"/>
              </w:rPr>
              <w:t>019</w:t>
            </w:r>
          </w:p>
        </w:tc>
      </w:tr>
      <w:tr w:rsidR="00EE16E0" w:rsidRPr="009D3F10" w14:paraId="4D5C4B42" w14:textId="77777777" w:rsidTr="00591313">
        <w:trPr>
          <w:cantSplit/>
          <w:trHeight w:val="255"/>
          <w:tblHeader/>
        </w:trPr>
        <w:tc>
          <w:tcPr>
            <w:tcW w:w="2495" w:type="pct"/>
            <w:shd w:val="clear" w:color="auto" w:fill="auto"/>
          </w:tcPr>
          <w:p w14:paraId="7FA4E6DD" w14:textId="0E50F772" w:rsidR="00B76AB2" w:rsidRPr="009D3F10" w:rsidRDefault="00B76AB2" w:rsidP="00B76AB2">
            <w:pPr>
              <w:jc w:val="left"/>
              <w:rPr>
                <w:rFonts w:asciiTheme="minorHAnsi" w:hAnsiTheme="minorHAnsi" w:cstheme="minorHAnsi"/>
                <w:color w:val="000000" w:themeColor="text1"/>
                <w:szCs w:val="20"/>
              </w:rPr>
            </w:pPr>
            <w:r w:rsidRPr="009D3F10">
              <w:rPr>
                <w:color w:val="000000" w:themeColor="text1"/>
                <w:szCs w:val="20"/>
              </w:rPr>
              <w:t>Аванси надані постачальникам</w:t>
            </w:r>
          </w:p>
        </w:tc>
        <w:tc>
          <w:tcPr>
            <w:tcW w:w="631" w:type="pct"/>
            <w:shd w:val="clear" w:color="auto" w:fill="auto"/>
            <w:vAlign w:val="bottom"/>
          </w:tcPr>
          <w:p w14:paraId="7439B5DA" w14:textId="7469EAA0" w:rsidR="00B76AB2" w:rsidRPr="009D3F10" w:rsidRDefault="00B76AB2" w:rsidP="00B76AB2">
            <w:pPr>
              <w:jc w:val="right"/>
              <w:rPr>
                <w:rFonts w:asciiTheme="minorHAnsi" w:hAnsiTheme="minorHAnsi" w:cstheme="minorHAnsi"/>
                <w:color w:val="000000" w:themeColor="text1"/>
                <w:szCs w:val="20"/>
              </w:rPr>
            </w:pPr>
            <w:r w:rsidRPr="009D3F10">
              <w:rPr>
                <w:color w:val="000000" w:themeColor="text1"/>
                <w:szCs w:val="20"/>
              </w:rPr>
              <w:t xml:space="preserve">2 233 </w:t>
            </w:r>
          </w:p>
        </w:tc>
        <w:tc>
          <w:tcPr>
            <w:tcW w:w="1242" w:type="pct"/>
            <w:shd w:val="clear" w:color="auto" w:fill="FFFFFF" w:themeFill="background1"/>
            <w:vAlign w:val="bottom"/>
          </w:tcPr>
          <w:p w14:paraId="650258EA" w14:textId="3F499CB6" w:rsidR="00B76AB2" w:rsidRPr="009D3F10" w:rsidRDefault="00B76AB2" w:rsidP="00B76AB2">
            <w:pPr>
              <w:jc w:val="right"/>
              <w:rPr>
                <w:rFonts w:asciiTheme="minorHAnsi" w:hAnsiTheme="minorHAnsi" w:cstheme="minorHAnsi"/>
                <w:color w:val="000000" w:themeColor="text1"/>
                <w:szCs w:val="20"/>
              </w:rPr>
            </w:pPr>
            <w:r w:rsidRPr="009D3F10">
              <w:rPr>
                <w:color w:val="000000" w:themeColor="text1"/>
                <w:szCs w:val="20"/>
              </w:rPr>
              <w:t>(9)</w:t>
            </w:r>
          </w:p>
        </w:tc>
        <w:tc>
          <w:tcPr>
            <w:tcW w:w="631" w:type="pct"/>
            <w:shd w:val="clear" w:color="auto" w:fill="FFFFFF" w:themeFill="background1"/>
            <w:vAlign w:val="bottom"/>
          </w:tcPr>
          <w:p w14:paraId="2619F86E" w14:textId="5AA3E42F" w:rsidR="00B76AB2" w:rsidRPr="009D3F10" w:rsidRDefault="00B76AB2" w:rsidP="00B76AB2">
            <w:pPr>
              <w:jc w:val="right"/>
              <w:rPr>
                <w:rFonts w:asciiTheme="minorHAnsi" w:hAnsiTheme="minorHAnsi" w:cstheme="minorHAnsi"/>
                <w:color w:val="000000" w:themeColor="text1"/>
                <w:szCs w:val="20"/>
              </w:rPr>
            </w:pPr>
            <w:r w:rsidRPr="009D3F10">
              <w:rPr>
                <w:color w:val="000000" w:themeColor="text1"/>
                <w:szCs w:val="20"/>
              </w:rPr>
              <w:t xml:space="preserve">2 224 </w:t>
            </w:r>
          </w:p>
        </w:tc>
      </w:tr>
      <w:tr w:rsidR="00EE16E0" w:rsidRPr="009D3F10" w14:paraId="2ABFABEC" w14:textId="77777777" w:rsidTr="00591313">
        <w:trPr>
          <w:cantSplit/>
          <w:trHeight w:val="58"/>
          <w:tblHeader/>
        </w:trPr>
        <w:tc>
          <w:tcPr>
            <w:tcW w:w="2495" w:type="pct"/>
            <w:tcBorders>
              <w:top w:val="single" w:sz="4" w:space="0" w:color="auto"/>
            </w:tcBorders>
            <w:shd w:val="clear" w:color="auto" w:fill="auto"/>
            <w:vAlign w:val="bottom"/>
          </w:tcPr>
          <w:p w14:paraId="68BFFEC3" w14:textId="77777777" w:rsidR="00EE16E0" w:rsidRPr="009D3F10" w:rsidRDefault="00EE16E0" w:rsidP="00EE16E0">
            <w:pPr>
              <w:jc w:val="left"/>
              <w:rPr>
                <w:rFonts w:asciiTheme="minorHAnsi" w:hAnsiTheme="minorHAnsi" w:cstheme="minorHAnsi"/>
                <w:b/>
                <w:bCs/>
                <w:color w:val="000000" w:themeColor="text1"/>
                <w:szCs w:val="20"/>
              </w:rPr>
            </w:pPr>
            <w:r w:rsidRPr="009D3F10">
              <w:rPr>
                <w:rFonts w:asciiTheme="minorHAnsi" w:hAnsiTheme="minorHAnsi" w:cstheme="minorHAnsi"/>
                <w:b/>
                <w:bCs/>
                <w:color w:val="000000" w:themeColor="text1"/>
                <w:szCs w:val="20"/>
              </w:rPr>
              <w:t>Разом відстрочених податкових зобов’язань</w:t>
            </w:r>
          </w:p>
        </w:tc>
        <w:tc>
          <w:tcPr>
            <w:tcW w:w="631" w:type="pct"/>
            <w:tcBorders>
              <w:top w:val="single" w:sz="4" w:space="0" w:color="auto"/>
            </w:tcBorders>
            <w:shd w:val="clear" w:color="auto" w:fill="auto"/>
            <w:vAlign w:val="bottom"/>
          </w:tcPr>
          <w:p w14:paraId="289D6C3D" w14:textId="2BF71E5A" w:rsidR="00EE16E0" w:rsidRPr="009D3F10" w:rsidRDefault="00EE16E0" w:rsidP="00EE16E0">
            <w:pPr>
              <w:jc w:val="right"/>
              <w:rPr>
                <w:rFonts w:asciiTheme="minorHAnsi" w:hAnsiTheme="minorHAnsi" w:cstheme="minorHAnsi"/>
                <w:b/>
                <w:bCs/>
                <w:color w:val="000000" w:themeColor="text1"/>
                <w:szCs w:val="20"/>
              </w:rPr>
            </w:pPr>
            <w:r w:rsidRPr="009D3F10">
              <w:rPr>
                <w:b/>
                <w:color w:val="000000" w:themeColor="text1"/>
                <w:szCs w:val="20"/>
              </w:rPr>
              <w:t>2 233</w:t>
            </w:r>
          </w:p>
        </w:tc>
        <w:tc>
          <w:tcPr>
            <w:tcW w:w="1242" w:type="pct"/>
            <w:tcBorders>
              <w:top w:val="single" w:sz="4" w:space="0" w:color="auto"/>
            </w:tcBorders>
            <w:shd w:val="clear" w:color="auto" w:fill="FFFFFF" w:themeFill="background1"/>
            <w:vAlign w:val="bottom"/>
          </w:tcPr>
          <w:p w14:paraId="3A4E1B21" w14:textId="6E6E3854" w:rsidR="00EE16E0" w:rsidRPr="009D3F10" w:rsidRDefault="00EE16E0" w:rsidP="00EE16E0">
            <w:pPr>
              <w:jc w:val="right"/>
              <w:rPr>
                <w:rFonts w:asciiTheme="minorHAnsi" w:hAnsiTheme="minorHAnsi" w:cstheme="minorHAnsi"/>
                <w:b/>
                <w:bCs/>
                <w:color w:val="000000" w:themeColor="text1"/>
                <w:szCs w:val="20"/>
              </w:rPr>
            </w:pPr>
            <w:r w:rsidRPr="009D3F10">
              <w:rPr>
                <w:b/>
                <w:bCs/>
                <w:color w:val="000000" w:themeColor="text1"/>
                <w:szCs w:val="20"/>
              </w:rPr>
              <w:t>(9)</w:t>
            </w:r>
          </w:p>
        </w:tc>
        <w:tc>
          <w:tcPr>
            <w:tcW w:w="631" w:type="pct"/>
            <w:tcBorders>
              <w:top w:val="single" w:sz="4" w:space="0" w:color="auto"/>
            </w:tcBorders>
            <w:shd w:val="clear" w:color="auto" w:fill="FFFFFF" w:themeFill="background1"/>
            <w:vAlign w:val="bottom"/>
          </w:tcPr>
          <w:p w14:paraId="617398F4" w14:textId="1C0FB537" w:rsidR="00EE16E0" w:rsidRPr="009D3F10" w:rsidRDefault="00EE16E0" w:rsidP="00EE16E0">
            <w:pPr>
              <w:jc w:val="right"/>
              <w:rPr>
                <w:rFonts w:asciiTheme="minorHAnsi" w:hAnsiTheme="minorHAnsi" w:cstheme="minorHAnsi"/>
                <w:b/>
                <w:bCs/>
                <w:color w:val="000000" w:themeColor="text1"/>
                <w:szCs w:val="20"/>
              </w:rPr>
            </w:pPr>
            <w:r w:rsidRPr="009D3F10">
              <w:rPr>
                <w:b/>
                <w:bCs/>
                <w:color w:val="000000" w:themeColor="text1"/>
                <w:szCs w:val="20"/>
              </w:rPr>
              <w:t xml:space="preserve">2 224 </w:t>
            </w:r>
          </w:p>
        </w:tc>
      </w:tr>
      <w:tr w:rsidR="00EE16E0" w:rsidRPr="00EE16E0" w14:paraId="7906A316" w14:textId="77777777" w:rsidTr="00591313">
        <w:trPr>
          <w:cantSplit/>
          <w:trHeight w:val="164"/>
          <w:tblHeader/>
        </w:trPr>
        <w:tc>
          <w:tcPr>
            <w:tcW w:w="2495" w:type="pct"/>
            <w:tcBorders>
              <w:top w:val="single" w:sz="4" w:space="0" w:color="auto"/>
              <w:bottom w:val="single" w:sz="4" w:space="0" w:color="auto"/>
            </w:tcBorders>
            <w:shd w:val="clear" w:color="auto" w:fill="auto"/>
            <w:vAlign w:val="bottom"/>
          </w:tcPr>
          <w:p w14:paraId="16334A10" w14:textId="5892018B" w:rsidR="00EE16E0" w:rsidRPr="009D3F10" w:rsidRDefault="00EE16E0" w:rsidP="00EE16E0">
            <w:pPr>
              <w:jc w:val="left"/>
              <w:rPr>
                <w:rFonts w:asciiTheme="minorHAnsi" w:hAnsiTheme="minorHAnsi" w:cstheme="minorHAnsi"/>
                <w:b/>
                <w:bCs/>
                <w:color w:val="000000" w:themeColor="text1"/>
                <w:szCs w:val="20"/>
              </w:rPr>
            </w:pPr>
            <w:r w:rsidRPr="009D3F10">
              <w:rPr>
                <w:rFonts w:asciiTheme="minorHAnsi" w:hAnsiTheme="minorHAnsi" w:cstheme="minorHAnsi"/>
                <w:b/>
                <w:bCs/>
                <w:color w:val="000000" w:themeColor="text1"/>
                <w:szCs w:val="20"/>
              </w:rPr>
              <w:t xml:space="preserve">Визнані відстрочені податкові </w:t>
            </w:r>
            <w:r w:rsidR="00FE0ED3">
              <w:rPr>
                <w:rFonts w:asciiTheme="minorHAnsi" w:hAnsiTheme="minorHAnsi" w:cstheme="minorHAnsi"/>
                <w:b/>
                <w:bCs/>
                <w:color w:val="000000" w:themeColor="text1"/>
                <w:szCs w:val="20"/>
              </w:rPr>
              <w:t>активи/</w:t>
            </w:r>
            <w:r w:rsidRPr="009D3F10">
              <w:rPr>
                <w:rFonts w:asciiTheme="minorHAnsi" w:hAnsiTheme="minorHAnsi" w:cstheme="minorHAnsi"/>
                <w:b/>
                <w:bCs/>
                <w:color w:val="000000" w:themeColor="text1"/>
                <w:szCs w:val="20"/>
              </w:rPr>
              <w:t>зобов’язання</w:t>
            </w:r>
          </w:p>
        </w:tc>
        <w:tc>
          <w:tcPr>
            <w:tcW w:w="631" w:type="pct"/>
            <w:tcBorders>
              <w:top w:val="single" w:sz="4" w:space="0" w:color="auto"/>
              <w:bottom w:val="single" w:sz="4" w:space="0" w:color="auto"/>
            </w:tcBorders>
            <w:shd w:val="clear" w:color="auto" w:fill="auto"/>
            <w:vAlign w:val="bottom"/>
          </w:tcPr>
          <w:p w14:paraId="48AD0CAC" w14:textId="5A22ABE5" w:rsidR="00EE16E0" w:rsidRPr="009D3F10" w:rsidRDefault="00EE16E0" w:rsidP="00EE16E0">
            <w:pPr>
              <w:jc w:val="right"/>
              <w:rPr>
                <w:rFonts w:asciiTheme="minorHAnsi" w:hAnsiTheme="minorHAnsi" w:cstheme="minorHAnsi"/>
                <w:b/>
                <w:bCs/>
                <w:color w:val="000000" w:themeColor="text1"/>
                <w:szCs w:val="20"/>
              </w:rPr>
            </w:pPr>
            <w:r w:rsidRPr="009D3F10">
              <w:rPr>
                <w:b/>
                <w:bCs/>
                <w:color w:val="000000" w:themeColor="text1"/>
                <w:szCs w:val="20"/>
              </w:rPr>
              <w:t xml:space="preserve">298 </w:t>
            </w:r>
          </w:p>
        </w:tc>
        <w:tc>
          <w:tcPr>
            <w:tcW w:w="1242" w:type="pct"/>
            <w:tcBorders>
              <w:top w:val="single" w:sz="4" w:space="0" w:color="auto"/>
              <w:bottom w:val="single" w:sz="4" w:space="0" w:color="auto"/>
            </w:tcBorders>
            <w:shd w:val="clear" w:color="auto" w:fill="FFFFFF" w:themeFill="background1"/>
            <w:vAlign w:val="bottom"/>
          </w:tcPr>
          <w:p w14:paraId="31CBF98D" w14:textId="523B6532" w:rsidR="00EE16E0" w:rsidRPr="009D3F10" w:rsidRDefault="00EE16E0" w:rsidP="00FE0ED3">
            <w:pPr>
              <w:jc w:val="right"/>
              <w:rPr>
                <w:rFonts w:asciiTheme="minorHAnsi" w:hAnsiTheme="minorHAnsi" w:cstheme="minorHAnsi"/>
                <w:b/>
                <w:bCs/>
                <w:color w:val="000000" w:themeColor="text1"/>
                <w:szCs w:val="20"/>
              </w:rPr>
            </w:pPr>
            <w:r w:rsidRPr="009D3F10">
              <w:rPr>
                <w:b/>
                <w:bCs/>
                <w:color w:val="000000" w:themeColor="text1"/>
                <w:szCs w:val="20"/>
              </w:rPr>
              <w:t>1 060</w:t>
            </w:r>
          </w:p>
        </w:tc>
        <w:tc>
          <w:tcPr>
            <w:tcW w:w="631" w:type="pct"/>
            <w:tcBorders>
              <w:top w:val="single" w:sz="4" w:space="0" w:color="auto"/>
              <w:bottom w:val="single" w:sz="4" w:space="0" w:color="auto"/>
            </w:tcBorders>
            <w:shd w:val="clear" w:color="auto" w:fill="FFFFFF" w:themeFill="background1"/>
            <w:vAlign w:val="bottom"/>
          </w:tcPr>
          <w:p w14:paraId="7931729B" w14:textId="6E384805" w:rsidR="00EE16E0" w:rsidRPr="00EE16E0" w:rsidRDefault="00EE16E0" w:rsidP="00EE16E0">
            <w:pPr>
              <w:jc w:val="right"/>
              <w:rPr>
                <w:rFonts w:asciiTheme="minorHAnsi" w:hAnsiTheme="minorHAnsi" w:cstheme="minorHAnsi"/>
                <w:b/>
                <w:bCs/>
                <w:color w:val="000000" w:themeColor="text1"/>
                <w:szCs w:val="20"/>
                <w:lang w:val="en-US"/>
              </w:rPr>
            </w:pPr>
            <w:r w:rsidRPr="009D3F10">
              <w:rPr>
                <w:b/>
                <w:bCs/>
                <w:color w:val="000000" w:themeColor="text1"/>
                <w:szCs w:val="20"/>
              </w:rPr>
              <w:t>1 358</w:t>
            </w:r>
            <w:r w:rsidRPr="00EE16E0">
              <w:rPr>
                <w:b/>
                <w:bCs/>
                <w:color w:val="000000" w:themeColor="text1"/>
                <w:szCs w:val="20"/>
              </w:rPr>
              <w:t xml:space="preserve"> </w:t>
            </w:r>
          </w:p>
        </w:tc>
      </w:tr>
    </w:tbl>
    <w:p w14:paraId="116F7555" w14:textId="77777777" w:rsidR="009D3F10" w:rsidRPr="009313ED" w:rsidRDefault="009D3F10" w:rsidP="009D3F10">
      <w:pPr>
        <w:spacing w:before="240" w:after="240"/>
        <w:rPr>
          <w:rFonts w:asciiTheme="minorHAnsi" w:hAnsiTheme="minorHAnsi" w:cstheme="minorHAnsi"/>
          <w:b/>
          <w:i/>
          <w:color w:val="000000" w:themeColor="text1"/>
          <w:szCs w:val="20"/>
        </w:rPr>
      </w:pPr>
      <w:bookmarkStart w:id="100" w:name="_Toc475007902"/>
      <w:bookmarkStart w:id="101" w:name="_Toc475522349"/>
      <w:r w:rsidRPr="009313ED">
        <w:rPr>
          <w:rFonts w:asciiTheme="minorHAnsi" w:hAnsiTheme="minorHAnsi" w:cstheme="minorHAnsi"/>
          <w:b/>
          <w:i/>
          <w:color w:val="000000" w:themeColor="text1"/>
          <w:szCs w:val="20"/>
        </w:rPr>
        <w:t>Податковий ефект тимчасових різниць, який зменшує суму оподаткування:</w:t>
      </w:r>
    </w:p>
    <w:tbl>
      <w:tblPr>
        <w:tblW w:w="5000" w:type="pct"/>
        <w:tblLook w:val="0000" w:firstRow="0" w:lastRow="0" w:firstColumn="0" w:lastColumn="0" w:noHBand="0" w:noVBand="0"/>
      </w:tblPr>
      <w:tblGrid>
        <w:gridCol w:w="4831"/>
        <w:gridCol w:w="1217"/>
        <w:gridCol w:w="2372"/>
        <w:gridCol w:w="1217"/>
      </w:tblGrid>
      <w:tr w:rsidR="009D3F10" w:rsidRPr="009313ED" w14:paraId="0AEB0D5E" w14:textId="77777777" w:rsidTr="00AB37CE">
        <w:trPr>
          <w:cantSplit/>
          <w:trHeight w:val="233"/>
          <w:tblHeader/>
        </w:trPr>
        <w:tc>
          <w:tcPr>
            <w:tcW w:w="2506" w:type="pct"/>
            <w:tcBorders>
              <w:bottom w:val="single" w:sz="4" w:space="0" w:color="auto"/>
            </w:tcBorders>
            <w:shd w:val="clear" w:color="auto" w:fill="auto"/>
            <w:vAlign w:val="center"/>
          </w:tcPr>
          <w:p w14:paraId="7BF5019C" w14:textId="77777777" w:rsidR="009D3F10" w:rsidRPr="009313ED" w:rsidRDefault="009D3F10" w:rsidP="00AB37CE">
            <w:pPr>
              <w:jc w:val="lef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9.3 Відстрочені</w:t>
            </w:r>
            <w:r w:rsidRPr="009313ED">
              <w:rPr>
                <w:rFonts w:asciiTheme="minorHAnsi" w:hAnsiTheme="minorHAnsi" w:cstheme="minorHAnsi"/>
                <w:b/>
                <w:color w:val="000000" w:themeColor="text1"/>
                <w:szCs w:val="20"/>
              </w:rPr>
              <w:br/>
              <w:t>податкові активи</w:t>
            </w:r>
          </w:p>
        </w:tc>
        <w:tc>
          <w:tcPr>
            <w:tcW w:w="631" w:type="pct"/>
            <w:tcBorders>
              <w:bottom w:val="single" w:sz="4" w:space="0" w:color="auto"/>
            </w:tcBorders>
            <w:shd w:val="clear" w:color="auto" w:fill="auto"/>
            <w:vAlign w:val="center"/>
          </w:tcPr>
          <w:p w14:paraId="014BC5AC" w14:textId="7B9E9D58" w:rsidR="009D3F10" w:rsidRPr="009313ED" w:rsidRDefault="009D3F10" w:rsidP="00AB37CE">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31.12.2019</w:t>
            </w:r>
          </w:p>
        </w:tc>
        <w:tc>
          <w:tcPr>
            <w:tcW w:w="1231" w:type="pct"/>
            <w:tcBorders>
              <w:bottom w:val="single" w:sz="4" w:space="0" w:color="auto"/>
            </w:tcBorders>
            <w:shd w:val="clear" w:color="auto" w:fill="auto"/>
            <w:vAlign w:val="center"/>
          </w:tcPr>
          <w:p w14:paraId="52EAFEAC" w14:textId="77777777" w:rsidR="009D3F10" w:rsidRPr="009313ED" w:rsidRDefault="009D3F10" w:rsidP="00AB37CE">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 xml:space="preserve">Вплив на </w:t>
            </w:r>
          </w:p>
          <w:p w14:paraId="1C38E641" w14:textId="77777777" w:rsidR="009D3F10" w:rsidRPr="009313ED" w:rsidRDefault="009D3F10" w:rsidP="00AB37CE">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прибуток чи збиток</w:t>
            </w:r>
          </w:p>
        </w:tc>
        <w:tc>
          <w:tcPr>
            <w:tcW w:w="631" w:type="pct"/>
            <w:tcBorders>
              <w:bottom w:val="single" w:sz="4" w:space="0" w:color="auto"/>
            </w:tcBorders>
            <w:shd w:val="clear" w:color="auto" w:fill="auto"/>
            <w:vAlign w:val="center"/>
          </w:tcPr>
          <w:p w14:paraId="4DE5FB6B" w14:textId="31B070FF" w:rsidR="009D3F10" w:rsidRPr="009313ED" w:rsidRDefault="009D3F10" w:rsidP="00AB37CE">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31.12.2020</w:t>
            </w:r>
          </w:p>
        </w:tc>
      </w:tr>
      <w:tr w:rsidR="009313ED" w:rsidRPr="009313ED" w14:paraId="60CC43D0" w14:textId="77777777" w:rsidTr="00AB37CE">
        <w:trPr>
          <w:cantSplit/>
          <w:trHeight w:val="255"/>
        </w:trPr>
        <w:tc>
          <w:tcPr>
            <w:tcW w:w="2506" w:type="pct"/>
            <w:shd w:val="clear" w:color="auto" w:fill="auto"/>
          </w:tcPr>
          <w:p w14:paraId="766C8C49" w14:textId="77777777" w:rsidR="009313ED" w:rsidRPr="009313ED" w:rsidRDefault="009313ED" w:rsidP="009313ED">
            <w:pPr>
              <w:jc w:val="left"/>
              <w:rPr>
                <w:rFonts w:asciiTheme="minorHAnsi" w:hAnsiTheme="minorHAnsi" w:cstheme="minorHAnsi"/>
                <w:color w:val="000000" w:themeColor="text1"/>
                <w:szCs w:val="20"/>
              </w:rPr>
            </w:pPr>
            <w:r w:rsidRPr="009313ED">
              <w:rPr>
                <w:color w:val="000000" w:themeColor="text1"/>
                <w:szCs w:val="20"/>
              </w:rPr>
              <w:t>Основні засоби</w:t>
            </w:r>
          </w:p>
        </w:tc>
        <w:tc>
          <w:tcPr>
            <w:tcW w:w="631" w:type="pct"/>
            <w:shd w:val="clear" w:color="auto" w:fill="auto"/>
            <w:vAlign w:val="bottom"/>
          </w:tcPr>
          <w:p w14:paraId="3D4ED51D" w14:textId="672CBC20"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2 162 </w:t>
            </w:r>
          </w:p>
        </w:tc>
        <w:tc>
          <w:tcPr>
            <w:tcW w:w="1231" w:type="pct"/>
            <w:tcBorders>
              <w:top w:val="single" w:sz="4" w:space="0" w:color="auto"/>
            </w:tcBorders>
            <w:shd w:val="clear" w:color="auto" w:fill="FFFFFF" w:themeFill="background1"/>
            <w:vAlign w:val="bottom"/>
          </w:tcPr>
          <w:p w14:paraId="14529879" w14:textId="15270C7C"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(257)</w:t>
            </w:r>
          </w:p>
        </w:tc>
        <w:tc>
          <w:tcPr>
            <w:tcW w:w="631" w:type="pct"/>
            <w:tcBorders>
              <w:top w:val="single" w:sz="4" w:space="0" w:color="auto"/>
            </w:tcBorders>
            <w:shd w:val="clear" w:color="auto" w:fill="FFFFFF" w:themeFill="background1"/>
            <w:vAlign w:val="bottom"/>
          </w:tcPr>
          <w:p w14:paraId="3FB012C1" w14:textId="07DCBE10"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1 905 </w:t>
            </w:r>
          </w:p>
        </w:tc>
      </w:tr>
      <w:tr w:rsidR="009313ED" w:rsidRPr="009313ED" w14:paraId="005AD30E" w14:textId="77777777" w:rsidTr="00AB37CE">
        <w:trPr>
          <w:cantSplit/>
          <w:trHeight w:val="255"/>
        </w:trPr>
        <w:tc>
          <w:tcPr>
            <w:tcW w:w="2506" w:type="pct"/>
            <w:shd w:val="clear" w:color="auto" w:fill="auto"/>
          </w:tcPr>
          <w:p w14:paraId="17526A44" w14:textId="77777777" w:rsidR="009313ED" w:rsidRPr="009313ED" w:rsidRDefault="009313ED" w:rsidP="009313ED">
            <w:pPr>
              <w:jc w:val="left"/>
              <w:rPr>
                <w:rFonts w:asciiTheme="minorHAnsi" w:hAnsiTheme="minorHAnsi" w:cstheme="minorHAnsi"/>
                <w:color w:val="000000" w:themeColor="text1"/>
                <w:szCs w:val="20"/>
              </w:rPr>
            </w:pPr>
            <w:r w:rsidRPr="009313ED">
              <w:rPr>
                <w:color w:val="000000" w:themeColor="text1"/>
                <w:szCs w:val="20"/>
              </w:rPr>
              <w:t>Нематеріальні активи</w:t>
            </w:r>
          </w:p>
        </w:tc>
        <w:tc>
          <w:tcPr>
            <w:tcW w:w="631" w:type="pct"/>
            <w:shd w:val="clear" w:color="auto" w:fill="auto"/>
            <w:vAlign w:val="bottom"/>
          </w:tcPr>
          <w:p w14:paraId="4FC3752A" w14:textId="5C80ED6F"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56 </w:t>
            </w:r>
          </w:p>
        </w:tc>
        <w:tc>
          <w:tcPr>
            <w:tcW w:w="1231" w:type="pct"/>
            <w:shd w:val="clear" w:color="auto" w:fill="FFFFFF" w:themeFill="background1"/>
            <w:vAlign w:val="bottom"/>
          </w:tcPr>
          <w:p w14:paraId="1872AA85" w14:textId="27750F91"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(23) </w:t>
            </w:r>
          </w:p>
        </w:tc>
        <w:tc>
          <w:tcPr>
            <w:tcW w:w="631" w:type="pct"/>
            <w:shd w:val="clear" w:color="auto" w:fill="FFFFFF" w:themeFill="background1"/>
            <w:vAlign w:val="bottom"/>
          </w:tcPr>
          <w:p w14:paraId="02047721" w14:textId="51416592"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33 </w:t>
            </w:r>
          </w:p>
        </w:tc>
      </w:tr>
      <w:tr w:rsidR="009313ED" w:rsidRPr="009313ED" w14:paraId="04B702E1" w14:textId="77777777" w:rsidTr="00AB37CE">
        <w:trPr>
          <w:cantSplit/>
          <w:trHeight w:val="255"/>
        </w:trPr>
        <w:tc>
          <w:tcPr>
            <w:tcW w:w="2506" w:type="pct"/>
            <w:tcBorders>
              <w:bottom w:val="single" w:sz="4" w:space="0" w:color="auto"/>
            </w:tcBorders>
            <w:shd w:val="clear" w:color="auto" w:fill="auto"/>
          </w:tcPr>
          <w:p w14:paraId="375F7E0E" w14:textId="77777777" w:rsidR="009313ED" w:rsidRPr="009313ED" w:rsidRDefault="009313ED" w:rsidP="009313ED">
            <w:pPr>
              <w:jc w:val="left"/>
              <w:rPr>
                <w:rFonts w:asciiTheme="minorHAnsi" w:hAnsiTheme="minorHAnsi" w:cstheme="minorHAnsi"/>
                <w:color w:val="000000" w:themeColor="text1"/>
                <w:szCs w:val="20"/>
              </w:rPr>
            </w:pPr>
            <w:r w:rsidRPr="009313ED">
              <w:rPr>
                <w:color w:val="000000" w:themeColor="text1"/>
                <w:szCs w:val="20"/>
              </w:rPr>
              <w:t>Запаси (резерв знецінення)</w:t>
            </w:r>
          </w:p>
        </w:tc>
        <w:tc>
          <w:tcPr>
            <w:tcW w:w="631" w:type="pct"/>
            <w:tcBorders>
              <w:bottom w:val="single" w:sz="4" w:space="0" w:color="auto"/>
            </w:tcBorders>
            <w:shd w:val="clear" w:color="auto" w:fill="auto"/>
            <w:vAlign w:val="bottom"/>
          </w:tcPr>
          <w:p w14:paraId="6573B1E0" w14:textId="7BF0950F"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1 364 </w:t>
            </w:r>
          </w:p>
        </w:tc>
        <w:tc>
          <w:tcPr>
            <w:tcW w:w="1231" w:type="pct"/>
            <w:shd w:val="clear" w:color="auto" w:fill="FFFFFF" w:themeFill="background1"/>
            <w:vAlign w:val="bottom"/>
          </w:tcPr>
          <w:p w14:paraId="227BC34E" w14:textId="045FAD09"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920 </w:t>
            </w:r>
          </w:p>
        </w:tc>
        <w:tc>
          <w:tcPr>
            <w:tcW w:w="631" w:type="pct"/>
            <w:shd w:val="clear" w:color="auto" w:fill="FFFFFF" w:themeFill="background1"/>
            <w:vAlign w:val="bottom"/>
          </w:tcPr>
          <w:p w14:paraId="01005484" w14:textId="20B09DD3"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2 284 </w:t>
            </w:r>
          </w:p>
        </w:tc>
      </w:tr>
      <w:tr w:rsidR="009313ED" w:rsidRPr="009313ED" w14:paraId="0E48F8A2" w14:textId="77777777" w:rsidTr="00AB37CE">
        <w:trPr>
          <w:cantSplit/>
          <w:trHeight w:val="255"/>
        </w:trPr>
        <w:tc>
          <w:tcPr>
            <w:tcW w:w="2506" w:type="pct"/>
            <w:tcBorders>
              <w:top w:val="single" w:sz="4" w:space="0" w:color="auto"/>
            </w:tcBorders>
            <w:shd w:val="clear" w:color="auto" w:fill="auto"/>
            <w:vAlign w:val="bottom"/>
          </w:tcPr>
          <w:p w14:paraId="7BF62AAE" w14:textId="77777777" w:rsidR="009313ED" w:rsidRPr="009313ED" w:rsidRDefault="009313ED" w:rsidP="009313ED">
            <w:pPr>
              <w:jc w:val="lef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Разом відстроченого податкового активу</w:t>
            </w:r>
          </w:p>
        </w:tc>
        <w:tc>
          <w:tcPr>
            <w:tcW w:w="631" w:type="pct"/>
            <w:tcBorders>
              <w:top w:val="single" w:sz="4" w:space="0" w:color="auto"/>
            </w:tcBorders>
            <w:shd w:val="clear" w:color="auto" w:fill="auto"/>
            <w:vAlign w:val="bottom"/>
          </w:tcPr>
          <w:p w14:paraId="2DD062B6" w14:textId="4C2EF592"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 xml:space="preserve">3 582 </w:t>
            </w:r>
          </w:p>
        </w:tc>
        <w:tc>
          <w:tcPr>
            <w:tcW w:w="1231" w:type="pct"/>
            <w:tcBorders>
              <w:top w:val="single" w:sz="4" w:space="0" w:color="auto"/>
            </w:tcBorders>
            <w:shd w:val="clear" w:color="auto" w:fill="FFFFFF" w:themeFill="background1"/>
            <w:vAlign w:val="bottom"/>
          </w:tcPr>
          <w:p w14:paraId="2E67A055" w14:textId="65EDBF9F"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 xml:space="preserve">640 </w:t>
            </w:r>
          </w:p>
        </w:tc>
        <w:tc>
          <w:tcPr>
            <w:tcW w:w="631" w:type="pct"/>
            <w:tcBorders>
              <w:top w:val="single" w:sz="4" w:space="0" w:color="auto"/>
            </w:tcBorders>
            <w:shd w:val="clear" w:color="auto" w:fill="FFFFFF" w:themeFill="background1"/>
            <w:vAlign w:val="bottom"/>
          </w:tcPr>
          <w:p w14:paraId="587EA9E7" w14:textId="6FE820DD"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 xml:space="preserve">4 222 </w:t>
            </w:r>
          </w:p>
        </w:tc>
      </w:tr>
    </w:tbl>
    <w:p w14:paraId="2077200B" w14:textId="77777777" w:rsidR="009D3F10" w:rsidRPr="009313ED" w:rsidRDefault="009D3F10" w:rsidP="009D3F10">
      <w:pPr>
        <w:spacing w:before="240" w:after="240"/>
        <w:rPr>
          <w:rFonts w:asciiTheme="minorHAnsi" w:hAnsiTheme="minorHAnsi" w:cstheme="minorHAnsi"/>
          <w:b/>
          <w:i/>
          <w:color w:val="000000" w:themeColor="text1"/>
          <w:szCs w:val="20"/>
        </w:rPr>
      </w:pPr>
      <w:r w:rsidRPr="009313ED">
        <w:rPr>
          <w:rFonts w:asciiTheme="minorHAnsi" w:hAnsiTheme="minorHAnsi" w:cstheme="minorHAnsi"/>
          <w:b/>
          <w:i/>
          <w:color w:val="000000" w:themeColor="text1"/>
          <w:szCs w:val="20"/>
        </w:rPr>
        <w:t>Податковий ефект тимчасових різниць, який збільшує суму оподаткування:</w:t>
      </w:r>
    </w:p>
    <w:tbl>
      <w:tblPr>
        <w:tblW w:w="5000" w:type="pct"/>
        <w:tblLook w:val="0000" w:firstRow="0" w:lastRow="0" w:firstColumn="0" w:lastColumn="0" w:noHBand="0" w:noVBand="0"/>
      </w:tblPr>
      <w:tblGrid>
        <w:gridCol w:w="4809"/>
        <w:gridCol w:w="1217"/>
        <w:gridCol w:w="2394"/>
        <w:gridCol w:w="1217"/>
      </w:tblGrid>
      <w:tr w:rsidR="009313ED" w:rsidRPr="009313ED" w14:paraId="07D16EB8" w14:textId="77777777" w:rsidTr="00AB37CE">
        <w:trPr>
          <w:cantSplit/>
          <w:trHeight w:val="120"/>
          <w:tblHeader/>
        </w:trPr>
        <w:tc>
          <w:tcPr>
            <w:tcW w:w="2495" w:type="pct"/>
            <w:tcBorders>
              <w:bottom w:val="single" w:sz="4" w:space="0" w:color="auto"/>
            </w:tcBorders>
            <w:shd w:val="clear" w:color="auto" w:fill="auto"/>
            <w:vAlign w:val="center"/>
          </w:tcPr>
          <w:p w14:paraId="1514FA86" w14:textId="77777777" w:rsidR="009313ED" w:rsidRPr="009313ED" w:rsidRDefault="009313ED" w:rsidP="009313ED">
            <w:pPr>
              <w:jc w:val="lef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9.4 Відстрочені</w:t>
            </w:r>
            <w:r w:rsidRPr="009313ED">
              <w:rPr>
                <w:rFonts w:asciiTheme="minorHAnsi" w:hAnsiTheme="minorHAnsi" w:cstheme="minorHAnsi"/>
                <w:b/>
                <w:color w:val="000000" w:themeColor="text1"/>
                <w:szCs w:val="20"/>
              </w:rPr>
              <w:br/>
              <w:t>податкові зобов’язання</w:t>
            </w:r>
          </w:p>
        </w:tc>
        <w:tc>
          <w:tcPr>
            <w:tcW w:w="631" w:type="pct"/>
            <w:tcBorders>
              <w:bottom w:val="single" w:sz="4" w:space="0" w:color="auto"/>
            </w:tcBorders>
            <w:shd w:val="clear" w:color="auto" w:fill="auto"/>
            <w:vAlign w:val="center"/>
          </w:tcPr>
          <w:p w14:paraId="60DBA6D1" w14:textId="58A4E4DD" w:rsidR="009313ED" w:rsidRPr="009313ED" w:rsidRDefault="009313ED" w:rsidP="009313ED">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31.12.2019</w:t>
            </w:r>
          </w:p>
        </w:tc>
        <w:tc>
          <w:tcPr>
            <w:tcW w:w="1242" w:type="pct"/>
            <w:tcBorders>
              <w:bottom w:val="single" w:sz="4" w:space="0" w:color="auto"/>
            </w:tcBorders>
            <w:shd w:val="clear" w:color="auto" w:fill="auto"/>
            <w:vAlign w:val="center"/>
          </w:tcPr>
          <w:p w14:paraId="3F3D3AD9" w14:textId="77777777" w:rsidR="009313ED" w:rsidRPr="009313ED" w:rsidRDefault="009313ED" w:rsidP="009313ED">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 xml:space="preserve">Вплив на </w:t>
            </w:r>
          </w:p>
          <w:p w14:paraId="1B6405CE" w14:textId="2B077B50" w:rsidR="009313ED" w:rsidRPr="009313ED" w:rsidRDefault="009313ED" w:rsidP="009313ED">
            <w:pPr>
              <w:jc w:val="right"/>
              <w:rPr>
                <w:rFonts w:asciiTheme="minorHAnsi" w:hAnsiTheme="minorHAnsi" w:cstheme="minorHAnsi"/>
                <w:b/>
                <w:color w:val="000000" w:themeColor="text1"/>
                <w:szCs w:val="20"/>
              </w:rPr>
            </w:pPr>
            <w:r w:rsidRPr="009313ED">
              <w:rPr>
                <w:rFonts w:asciiTheme="minorHAnsi" w:hAnsiTheme="minorHAnsi" w:cstheme="minorHAnsi"/>
                <w:b/>
                <w:color w:val="000000" w:themeColor="text1"/>
                <w:szCs w:val="20"/>
              </w:rPr>
              <w:t>прибуток чи збиток</w:t>
            </w:r>
          </w:p>
        </w:tc>
        <w:tc>
          <w:tcPr>
            <w:tcW w:w="631" w:type="pct"/>
            <w:tcBorders>
              <w:bottom w:val="single" w:sz="4" w:space="0" w:color="auto"/>
            </w:tcBorders>
            <w:shd w:val="clear" w:color="auto" w:fill="auto"/>
            <w:vAlign w:val="center"/>
          </w:tcPr>
          <w:p w14:paraId="673F70A6" w14:textId="343DBC65" w:rsidR="009313ED" w:rsidRPr="009313ED" w:rsidRDefault="009313ED" w:rsidP="009313ED">
            <w:pPr>
              <w:jc w:val="right"/>
              <w:rPr>
                <w:rFonts w:asciiTheme="minorHAnsi" w:hAnsiTheme="minorHAnsi" w:cstheme="minorHAnsi"/>
                <w:b/>
                <w:color w:val="000000" w:themeColor="text1"/>
                <w:szCs w:val="20"/>
                <w:lang w:val="ru-RU"/>
              </w:rPr>
            </w:pPr>
            <w:r w:rsidRPr="009313ED">
              <w:rPr>
                <w:rFonts w:asciiTheme="minorHAnsi" w:hAnsiTheme="minorHAnsi" w:cstheme="minorHAnsi"/>
                <w:b/>
                <w:color w:val="000000" w:themeColor="text1"/>
                <w:szCs w:val="20"/>
              </w:rPr>
              <w:t>31.12.2020</w:t>
            </w:r>
          </w:p>
        </w:tc>
      </w:tr>
      <w:tr w:rsidR="009313ED" w:rsidRPr="009313ED" w14:paraId="2EB2568E" w14:textId="77777777" w:rsidTr="00AB37CE">
        <w:trPr>
          <w:cantSplit/>
          <w:trHeight w:val="255"/>
        </w:trPr>
        <w:tc>
          <w:tcPr>
            <w:tcW w:w="2495" w:type="pct"/>
            <w:shd w:val="clear" w:color="auto" w:fill="auto"/>
          </w:tcPr>
          <w:p w14:paraId="0891373A" w14:textId="77777777" w:rsidR="009313ED" w:rsidRPr="009313ED" w:rsidRDefault="009313ED" w:rsidP="009313ED">
            <w:pPr>
              <w:jc w:val="left"/>
              <w:rPr>
                <w:rFonts w:asciiTheme="minorHAnsi" w:hAnsiTheme="minorHAnsi" w:cstheme="minorHAnsi"/>
                <w:color w:val="000000" w:themeColor="text1"/>
                <w:szCs w:val="20"/>
              </w:rPr>
            </w:pPr>
            <w:r w:rsidRPr="009313ED">
              <w:rPr>
                <w:color w:val="000000" w:themeColor="text1"/>
                <w:szCs w:val="20"/>
              </w:rPr>
              <w:t>Аванси надані постачальникам</w:t>
            </w:r>
          </w:p>
        </w:tc>
        <w:tc>
          <w:tcPr>
            <w:tcW w:w="631" w:type="pct"/>
            <w:shd w:val="clear" w:color="auto" w:fill="auto"/>
            <w:vAlign w:val="bottom"/>
          </w:tcPr>
          <w:p w14:paraId="46007041" w14:textId="3EBC3A60"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2 224 </w:t>
            </w:r>
          </w:p>
        </w:tc>
        <w:tc>
          <w:tcPr>
            <w:tcW w:w="1242" w:type="pct"/>
            <w:shd w:val="clear" w:color="auto" w:fill="FFFFFF" w:themeFill="background1"/>
            <w:vAlign w:val="bottom"/>
          </w:tcPr>
          <w:p w14:paraId="19DF52B2" w14:textId="3BABB979"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w:t>
            </w:r>
          </w:p>
        </w:tc>
        <w:tc>
          <w:tcPr>
            <w:tcW w:w="631" w:type="pct"/>
            <w:shd w:val="clear" w:color="auto" w:fill="FFFFFF" w:themeFill="background1"/>
            <w:vAlign w:val="bottom"/>
          </w:tcPr>
          <w:p w14:paraId="27742B6A" w14:textId="77777777" w:rsidR="009313ED" w:rsidRPr="009313ED" w:rsidRDefault="009313ED" w:rsidP="009313ED">
            <w:pPr>
              <w:jc w:val="right"/>
              <w:rPr>
                <w:rFonts w:asciiTheme="minorHAnsi" w:hAnsiTheme="minorHAnsi" w:cstheme="minorHAnsi"/>
                <w:color w:val="000000" w:themeColor="text1"/>
                <w:szCs w:val="20"/>
              </w:rPr>
            </w:pPr>
            <w:r w:rsidRPr="009313ED">
              <w:rPr>
                <w:color w:val="000000" w:themeColor="text1"/>
                <w:szCs w:val="20"/>
              </w:rPr>
              <w:t xml:space="preserve">2 224 </w:t>
            </w:r>
          </w:p>
        </w:tc>
      </w:tr>
      <w:tr w:rsidR="009313ED" w:rsidRPr="009313ED" w14:paraId="297D36C6" w14:textId="77777777" w:rsidTr="00AB37CE">
        <w:trPr>
          <w:cantSplit/>
          <w:trHeight w:val="58"/>
        </w:trPr>
        <w:tc>
          <w:tcPr>
            <w:tcW w:w="2495" w:type="pct"/>
            <w:tcBorders>
              <w:top w:val="single" w:sz="4" w:space="0" w:color="auto"/>
            </w:tcBorders>
            <w:shd w:val="clear" w:color="auto" w:fill="auto"/>
            <w:vAlign w:val="bottom"/>
          </w:tcPr>
          <w:p w14:paraId="0AAF3F49" w14:textId="77777777" w:rsidR="009313ED" w:rsidRPr="009313ED" w:rsidRDefault="009313ED" w:rsidP="009313ED">
            <w:pPr>
              <w:jc w:val="left"/>
              <w:rPr>
                <w:rFonts w:asciiTheme="minorHAnsi" w:hAnsiTheme="minorHAnsi" w:cstheme="minorHAnsi"/>
                <w:b/>
                <w:bCs/>
                <w:color w:val="000000" w:themeColor="text1"/>
                <w:szCs w:val="20"/>
              </w:rPr>
            </w:pPr>
            <w:r w:rsidRPr="009313ED">
              <w:rPr>
                <w:rFonts w:asciiTheme="minorHAnsi" w:hAnsiTheme="minorHAnsi" w:cstheme="minorHAnsi"/>
                <w:b/>
                <w:bCs/>
                <w:color w:val="000000" w:themeColor="text1"/>
                <w:szCs w:val="20"/>
              </w:rPr>
              <w:t>Разом відстрочених податкових зобов’язань</w:t>
            </w:r>
          </w:p>
        </w:tc>
        <w:tc>
          <w:tcPr>
            <w:tcW w:w="631" w:type="pct"/>
            <w:tcBorders>
              <w:top w:val="single" w:sz="4" w:space="0" w:color="auto"/>
            </w:tcBorders>
            <w:shd w:val="clear" w:color="auto" w:fill="auto"/>
            <w:vAlign w:val="bottom"/>
          </w:tcPr>
          <w:p w14:paraId="001B81C1" w14:textId="7C3D6369"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 xml:space="preserve">2 224 </w:t>
            </w:r>
          </w:p>
        </w:tc>
        <w:tc>
          <w:tcPr>
            <w:tcW w:w="1242" w:type="pct"/>
            <w:tcBorders>
              <w:top w:val="single" w:sz="4" w:space="0" w:color="auto"/>
            </w:tcBorders>
            <w:shd w:val="clear" w:color="auto" w:fill="FFFFFF" w:themeFill="background1"/>
            <w:vAlign w:val="bottom"/>
          </w:tcPr>
          <w:p w14:paraId="3A4D7F5D" w14:textId="7EF29499"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w:t>
            </w:r>
          </w:p>
        </w:tc>
        <w:tc>
          <w:tcPr>
            <w:tcW w:w="631" w:type="pct"/>
            <w:tcBorders>
              <w:top w:val="single" w:sz="4" w:space="0" w:color="auto"/>
            </w:tcBorders>
            <w:shd w:val="clear" w:color="auto" w:fill="FFFFFF" w:themeFill="background1"/>
            <w:vAlign w:val="bottom"/>
          </w:tcPr>
          <w:p w14:paraId="4A1BD9BE" w14:textId="77777777"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 xml:space="preserve">2 224 </w:t>
            </w:r>
          </w:p>
        </w:tc>
      </w:tr>
      <w:tr w:rsidR="009313ED" w:rsidRPr="009313ED" w14:paraId="2C342AFC" w14:textId="77777777" w:rsidTr="00AB37CE">
        <w:trPr>
          <w:cantSplit/>
          <w:trHeight w:val="68"/>
        </w:trPr>
        <w:tc>
          <w:tcPr>
            <w:tcW w:w="2495" w:type="pct"/>
            <w:tcBorders>
              <w:bottom w:val="single" w:sz="4" w:space="0" w:color="auto"/>
            </w:tcBorders>
            <w:shd w:val="clear" w:color="auto" w:fill="auto"/>
            <w:vAlign w:val="bottom"/>
          </w:tcPr>
          <w:p w14:paraId="43AB2139" w14:textId="77777777" w:rsidR="009313ED" w:rsidRPr="009313ED" w:rsidRDefault="009313ED" w:rsidP="009313ED">
            <w:pPr>
              <w:jc w:val="left"/>
              <w:rPr>
                <w:rFonts w:asciiTheme="minorHAnsi" w:hAnsiTheme="minorHAnsi" w:cstheme="minorHAnsi"/>
                <w:b/>
                <w:bCs/>
                <w:color w:val="000000" w:themeColor="text1"/>
                <w:szCs w:val="20"/>
              </w:rPr>
            </w:pPr>
          </w:p>
        </w:tc>
        <w:tc>
          <w:tcPr>
            <w:tcW w:w="631" w:type="pct"/>
            <w:tcBorders>
              <w:bottom w:val="single" w:sz="4" w:space="0" w:color="auto"/>
            </w:tcBorders>
            <w:shd w:val="clear" w:color="auto" w:fill="auto"/>
            <w:vAlign w:val="bottom"/>
          </w:tcPr>
          <w:p w14:paraId="172652A3" w14:textId="77777777" w:rsidR="009313ED" w:rsidRPr="009313ED" w:rsidRDefault="009313ED" w:rsidP="009313ED">
            <w:pPr>
              <w:jc w:val="right"/>
              <w:rPr>
                <w:rFonts w:asciiTheme="minorHAnsi" w:hAnsiTheme="minorHAnsi" w:cstheme="minorHAnsi"/>
                <w:b/>
                <w:bCs/>
                <w:color w:val="000000" w:themeColor="text1"/>
                <w:szCs w:val="20"/>
              </w:rPr>
            </w:pPr>
          </w:p>
        </w:tc>
        <w:tc>
          <w:tcPr>
            <w:tcW w:w="1242" w:type="pct"/>
            <w:tcBorders>
              <w:bottom w:val="single" w:sz="4" w:space="0" w:color="auto"/>
            </w:tcBorders>
            <w:shd w:val="clear" w:color="auto" w:fill="FFFFFF" w:themeFill="background1"/>
            <w:vAlign w:val="bottom"/>
          </w:tcPr>
          <w:p w14:paraId="343D0345" w14:textId="77777777" w:rsidR="009313ED" w:rsidRPr="009313ED" w:rsidRDefault="009313ED" w:rsidP="009313ED">
            <w:pPr>
              <w:jc w:val="right"/>
              <w:rPr>
                <w:rFonts w:asciiTheme="minorHAnsi" w:hAnsiTheme="minorHAnsi" w:cstheme="minorHAnsi"/>
                <w:b/>
                <w:bCs/>
                <w:color w:val="000000" w:themeColor="text1"/>
                <w:szCs w:val="20"/>
              </w:rPr>
            </w:pPr>
          </w:p>
        </w:tc>
        <w:tc>
          <w:tcPr>
            <w:tcW w:w="631" w:type="pct"/>
            <w:tcBorders>
              <w:bottom w:val="single" w:sz="4" w:space="0" w:color="auto"/>
            </w:tcBorders>
            <w:shd w:val="clear" w:color="auto" w:fill="FFFFFF" w:themeFill="background1"/>
            <w:vAlign w:val="bottom"/>
          </w:tcPr>
          <w:p w14:paraId="23B32F8E" w14:textId="77777777" w:rsidR="009313ED" w:rsidRPr="009313ED" w:rsidRDefault="009313ED" w:rsidP="009313ED">
            <w:pPr>
              <w:jc w:val="right"/>
              <w:rPr>
                <w:rFonts w:asciiTheme="minorHAnsi" w:hAnsiTheme="minorHAnsi" w:cstheme="minorHAnsi"/>
                <w:b/>
                <w:bCs/>
                <w:color w:val="000000" w:themeColor="text1"/>
                <w:szCs w:val="20"/>
              </w:rPr>
            </w:pPr>
          </w:p>
        </w:tc>
      </w:tr>
      <w:tr w:rsidR="009313ED" w:rsidRPr="00EE16E0" w14:paraId="4CF19BB4" w14:textId="77777777" w:rsidTr="00AB37CE">
        <w:trPr>
          <w:cantSplit/>
          <w:trHeight w:val="164"/>
        </w:trPr>
        <w:tc>
          <w:tcPr>
            <w:tcW w:w="2495" w:type="pct"/>
            <w:tcBorders>
              <w:top w:val="single" w:sz="4" w:space="0" w:color="auto"/>
              <w:bottom w:val="single" w:sz="4" w:space="0" w:color="auto"/>
            </w:tcBorders>
            <w:shd w:val="clear" w:color="auto" w:fill="auto"/>
            <w:vAlign w:val="bottom"/>
          </w:tcPr>
          <w:p w14:paraId="6861DB90" w14:textId="44A079FD" w:rsidR="009313ED" w:rsidRPr="009313ED" w:rsidRDefault="009313ED" w:rsidP="009313ED">
            <w:pPr>
              <w:jc w:val="left"/>
              <w:rPr>
                <w:rFonts w:asciiTheme="minorHAnsi" w:hAnsiTheme="minorHAnsi" w:cstheme="minorHAnsi"/>
                <w:b/>
                <w:bCs/>
                <w:color w:val="000000" w:themeColor="text1"/>
                <w:szCs w:val="20"/>
              </w:rPr>
            </w:pPr>
            <w:r w:rsidRPr="009313ED">
              <w:rPr>
                <w:rFonts w:asciiTheme="minorHAnsi" w:hAnsiTheme="minorHAnsi" w:cstheme="minorHAnsi"/>
                <w:b/>
                <w:bCs/>
                <w:color w:val="000000" w:themeColor="text1"/>
                <w:szCs w:val="20"/>
              </w:rPr>
              <w:t xml:space="preserve">Визнані відстрочені податкові </w:t>
            </w:r>
            <w:r w:rsidR="00F22681">
              <w:rPr>
                <w:rFonts w:asciiTheme="minorHAnsi" w:hAnsiTheme="minorHAnsi" w:cstheme="minorHAnsi"/>
                <w:b/>
                <w:bCs/>
                <w:color w:val="000000" w:themeColor="text1"/>
                <w:szCs w:val="20"/>
              </w:rPr>
              <w:t>активи/</w:t>
            </w:r>
            <w:r w:rsidRPr="009313ED">
              <w:rPr>
                <w:rFonts w:asciiTheme="minorHAnsi" w:hAnsiTheme="minorHAnsi" w:cstheme="minorHAnsi"/>
                <w:b/>
                <w:bCs/>
                <w:color w:val="000000" w:themeColor="text1"/>
                <w:szCs w:val="20"/>
              </w:rPr>
              <w:t>зобов’язання</w:t>
            </w:r>
          </w:p>
        </w:tc>
        <w:tc>
          <w:tcPr>
            <w:tcW w:w="631" w:type="pct"/>
            <w:tcBorders>
              <w:top w:val="single" w:sz="4" w:space="0" w:color="auto"/>
              <w:bottom w:val="single" w:sz="4" w:space="0" w:color="auto"/>
            </w:tcBorders>
            <w:shd w:val="clear" w:color="auto" w:fill="auto"/>
            <w:vAlign w:val="bottom"/>
          </w:tcPr>
          <w:p w14:paraId="0D31113C" w14:textId="71CDC552" w:rsidR="009313ED" w:rsidRPr="009313ED" w:rsidRDefault="009313ED" w:rsidP="009313ED">
            <w:pPr>
              <w:jc w:val="right"/>
              <w:rPr>
                <w:rFonts w:asciiTheme="minorHAnsi" w:hAnsiTheme="minorHAnsi" w:cstheme="minorHAnsi"/>
                <w:b/>
                <w:bCs/>
                <w:color w:val="000000" w:themeColor="text1"/>
                <w:szCs w:val="20"/>
              </w:rPr>
            </w:pPr>
            <w:r w:rsidRPr="009313ED">
              <w:rPr>
                <w:b/>
                <w:bCs/>
                <w:color w:val="000000" w:themeColor="text1"/>
                <w:szCs w:val="20"/>
              </w:rPr>
              <w:t xml:space="preserve">1 358 </w:t>
            </w:r>
          </w:p>
        </w:tc>
        <w:tc>
          <w:tcPr>
            <w:tcW w:w="1242" w:type="pct"/>
            <w:tcBorders>
              <w:top w:val="single" w:sz="4" w:space="0" w:color="auto"/>
              <w:bottom w:val="single" w:sz="4" w:space="0" w:color="auto"/>
            </w:tcBorders>
            <w:shd w:val="clear" w:color="auto" w:fill="FFFFFF" w:themeFill="background1"/>
            <w:vAlign w:val="bottom"/>
          </w:tcPr>
          <w:p w14:paraId="2E6EF02F" w14:textId="5534BC94" w:rsidR="009313ED" w:rsidRPr="009313ED" w:rsidRDefault="00C668BD" w:rsidP="009313ED">
            <w:pPr>
              <w:jc w:val="right"/>
              <w:rPr>
                <w:rFonts w:asciiTheme="minorHAnsi" w:hAnsiTheme="minorHAnsi" w:cstheme="minorHAnsi"/>
                <w:b/>
                <w:bCs/>
                <w:color w:val="000000" w:themeColor="text1"/>
                <w:szCs w:val="20"/>
              </w:rPr>
            </w:pPr>
            <w:r>
              <w:rPr>
                <w:b/>
                <w:bCs/>
                <w:color w:val="000000" w:themeColor="text1"/>
                <w:szCs w:val="20"/>
                <w:lang w:val="ru-RU"/>
              </w:rPr>
              <w:t>640</w:t>
            </w:r>
          </w:p>
        </w:tc>
        <w:tc>
          <w:tcPr>
            <w:tcW w:w="631" w:type="pct"/>
            <w:tcBorders>
              <w:top w:val="single" w:sz="4" w:space="0" w:color="auto"/>
              <w:bottom w:val="single" w:sz="4" w:space="0" w:color="auto"/>
            </w:tcBorders>
            <w:shd w:val="clear" w:color="auto" w:fill="FFFFFF" w:themeFill="background1"/>
            <w:vAlign w:val="bottom"/>
          </w:tcPr>
          <w:p w14:paraId="7100F631" w14:textId="02F870B7" w:rsidR="009313ED" w:rsidRPr="00EE16E0" w:rsidRDefault="009313ED" w:rsidP="009313ED">
            <w:pPr>
              <w:jc w:val="right"/>
              <w:rPr>
                <w:rFonts w:asciiTheme="minorHAnsi" w:hAnsiTheme="minorHAnsi" w:cstheme="minorHAnsi"/>
                <w:b/>
                <w:bCs/>
                <w:color w:val="000000" w:themeColor="text1"/>
                <w:szCs w:val="20"/>
                <w:lang w:val="en-US"/>
              </w:rPr>
            </w:pPr>
            <w:r w:rsidRPr="009313ED">
              <w:rPr>
                <w:b/>
                <w:bCs/>
                <w:color w:val="000000" w:themeColor="text1"/>
                <w:szCs w:val="20"/>
              </w:rPr>
              <w:t>1 998</w:t>
            </w:r>
          </w:p>
        </w:tc>
      </w:tr>
    </w:tbl>
    <w:p w14:paraId="0EAB69B9" w14:textId="4F059BB2" w:rsidR="00512CFA" w:rsidRPr="00EE16E0" w:rsidRDefault="00462939" w:rsidP="0062384D">
      <w:pPr>
        <w:pStyle w:val="1"/>
        <w:spacing w:before="360"/>
        <w:ind w:left="357" w:hanging="357"/>
        <w:rPr>
          <w:color w:val="000000" w:themeColor="text1"/>
          <w:szCs w:val="20"/>
        </w:rPr>
      </w:pPr>
      <w:bookmarkStart w:id="102" w:name="_Toc68253963"/>
      <w:r w:rsidRPr="00EE16E0">
        <w:rPr>
          <w:color w:val="000000" w:themeColor="text1"/>
          <w:szCs w:val="20"/>
        </w:rPr>
        <w:t>Основні засоби</w:t>
      </w:r>
      <w:bookmarkEnd w:id="100"/>
      <w:bookmarkEnd w:id="101"/>
      <w:bookmarkEnd w:id="102"/>
    </w:p>
    <w:tbl>
      <w:tblPr>
        <w:tblW w:w="4999" w:type="pct"/>
        <w:tblLook w:val="00A0" w:firstRow="1" w:lastRow="0" w:firstColumn="1" w:lastColumn="0" w:noHBand="0" w:noVBand="0"/>
      </w:tblPr>
      <w:tblGrid>
        <w:gridCol w:w="5515"/>
        <w:gridCol w:w="2060"/>
        <w:gridCol w:w="2060"/>
      </w:tblGrid>
      <w:tr w:rsidR="004B7218" w:rsidRPr="00EE16E0" w14:paraId="23491D7A" w14:textId="77777777" w:rsidTr="004B7218">
        <w:trPr>
          <w:trHeight w:val="385"/>
          <w:tblHeader/>
        </w:trPr>
        <w:tc>
          <w:tcPr>
            <w:tcW w:w="2861" w:type="pct"/>
            <w:tcBorders>
              <w:left w:val="nil"/>
              <w:bottom w:val="single" w:sz="4" w:space="0" w:color="auto"/>
              <w:right w:val="nil"/>
            </w:tcBorders>
            <w:shd w:val="clear" w:color="auto" w:fill="FFFFFF"/>
            <w:vAlign w:val="center"/>
          </w:tcPr>
          <w:p w14:paraId="610392E1" w14:textId="5E019A8C" w:rsidR="004B7218" w:rsidRPr="00EE16E0" w:rsidRDefault="004B7218" w:rsidP="006F2884">
            <w:pPr>
              <w:jc w:val="left"/>
              <w:rPr>
                <w:rFonts w:asciiTheme="minorHAnsi" w:hAnsiTheme="minorHAnsi" w:cstheme="minorHAnsi"/>
                <w:b/>
                <w:bCs/>
                <w:color w:val="000000" w:themeColor="text1"/>
                <w:szCs w:val="20"/>
              </w:rPr>
            </w:pPr>
            <w:r w:rsidRPr="00EE16E0">
              <w:rPr>
                <w:rFonts w:asciiTheme="minorHAnsi" w:hAnsiTheme="minorHAnsi" w:cstheme="minorHAnsi"/>
                <w:b/>
                <w:bCs/>
                <w:color w:val="000000" w:themeColor="text1"/>
                <w:szCs w:val="20"/>
              </w:rPr>
              <w:t>10.1 Основні засоби в Звіті про фінансовий стан</w:t>
            </w:r>
          </w:p>
        </w:tc>
        <w:tc>
          <w:tcPr>
            <w:tcW w:w="1069" w:type="pct"/>
            <w:tcBorders>
              <w:left w:val="nil"/>
              <w:bottom w:val="single" w:sz="4" w:space="0" w:color="auto"/>
              <w:right w:val="nil"/>
            </w:tcBorders>
            <w:shd w:val="clear" w:color="auto" w:fill="FFFFFF"/>
            <w:vAlign w:val="center"/>
          </w:tcPr>
          <w:p w14:paraId="6126B62D" w14:textId="5F107F49" w:rsidR="004B7218" w:rsidRPr="00EE16E0" w:rsidRDefault="004B7218" w:rsidP="006F2884">
            <w:pPr>
              <w:jc w:val="right"/>
              <w:rPr>
                <w:rFonts w:asciiTheme="minorHAnsi" w:hAnsiTheme="minorHAnsi" w:cstheme="minorHAnsi"/>
                <w:b/>
                <w:bCs/>
                <w:color w:val="000000" w:themeColor="text1"/>
                <w:szCs w:val="20"/>
                <w:lang w:val="en-US"/>
              </w:rPr>
            </w:pPr>
            <w:r w:rsidRPr="00EE16E0">
              <w:rPr>
                <w:rFonts w:asciiTheme="minorHAnsi" w:hAnsiTheme="minorHAnsi" w:cstheme="minorHAnsi"/>
                <w:b/>
                <w:bCs/>
                <w:color w:val="000000" w:themeColor="text1"/>
                <w:szCs w:val="20"/>
              </w:rPr>
              <w:t>31.12.20</w:t>
            </w:r>
            <w:r>
              <w:rPr>
                <w:rFonts w:asciiTheme="minorHAnsi" w:hAnsiTheme="minorHAnsi" w:cstheme="minorHAnsi"/>
                <w:b/>
                <w:bCs/>
                <w:color w:val="000000" w:themeColor="text1"/>
                <w:szCs w:val="20"/>
              </w:rPr>
              <w:t>20</w:t>
            </w:r>
          </w:p>
        </w:tc>
        <w:tc>
          <w:tcPr>
            <w:tcW w:w="1069" w:type="pct"/>
            <w:tcBorders>
              <w:left w:val="nil"/>
              <w:bottom w:val="single" w:sz="4" w:space="0" w:color="auto"/>
              <w:right w:val="nil"/>
            </w:tcBorders>
            <w:shd w:val="clear" w:color="auto" w:fill="FFFFFF"/>
            <w:vAlign w:val="center"/>
          </w:tcPr>
          <w:p w14:paraId="5C15B42D" w14:textId="687F5604" w:rsidR="004B7218" w:rsidRPr="00EE16E0" w:rsidRDefault="004B7218" w:rsidP="006F2884">
            <w:pPr>
              <w:jc w:val="right"/>
              <w:rPr>
                <w:rFonts w:asciiTheme="minorHAnsi" w:hAnsiTheme="minorHAnsi" w:cstheme="minorHAnsi"/>
                <w:b/>
                <w:bCs/>
                <w:color w:val="000000" w:themeColor="text1"/>
                <w:szCs w:val="20"/>
              </w:rPr>
            </w:pPr>
            <w:r w:rsidRPr="00EE16E0">
              <w:rPr>
                <w:rFonts w:asciiTheme="minorHAnsi" w:hAnsiTheme="minorHAnsi" w:cstheme="minorHAnsi"/>
                <w:b/>
                <w:bCs/>
                <w:color w:val="000000" w:themeColor="text1"/>
                <w:szCs w:val="20"/>
              </w:rPr>
              <w:t>31.12.201</w:t>
            </w:r>
            <w:r w:rsidRPr="00EE16E0">
              <w:rPr>
                <w:rFonts w:asciiTheme="minorHAnsi" w:hAnsiTheme="minorHAnsi" w:cstheme="minorHAnsi"/>
                <w:b/>
                <w:bCs/>
                <w:color w:val="000000" w:themeColor="text1"/>
                <w:szCs w:val="20"/>
                <w:lang w:val="en-US"/>
              </w:rPr>
              <w:t>9</w:t>
            </w:r>
          </w:p>
        </w:tc>
      </w:tr>
      <w:tr w:rsidR="004B7218" w:rsidRPr="00EE16E0" w14:paraId="70145666" w14:textId="77777777" w:rsidTr="004B7218">
        <w:trPr>
          <w:trHeight w:val="255"/>
        </w:trPr>
        <w:tc>
          <w:tcPr>
            <w:tcW w:w="2861" w:type="pct"/>
            <w:tcBorders>
              <w:top w:val="nil"/>
              <w:left w:val="nil"/>
              <w:right w:val="nil"/>
            </w:tcBorders>
            <w:shd w:val="clear" w:color="auto" w:fill="FFFFFF"/>
            <w:noWrap/>
            <w:vAlign w:val="bottom"/>
          </w:tcPr>
          <w:p w14:paraId="46FC8685" w14:textId="77777777" w:rsidR="004B7218" w:rsidRPr="00EE16E0" w:rsidRDefault="004B7218" w:rsidP="006F2884">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Первісна вартість</w:t>
            </w:r>
          </w:p>
        </w:tc>
        <w:tc>
          <w:tcPr>
            <w:tcW w:w="1069" w:type="pct"/>
            <w:tcBorders>
              <w:top w:val="nil"/>
              <w:left w:val="nil"/>
              <w:right w:val="nil"/>
            </w:tcBorders>
            <w:shd w:val="clear" w:color="auto" w:fill="FFFFFF"/>
            <w:vAlign w:val="bottom"/>
          </w:tcPr>
          <w:p w14:paraId="60C1804E" w14:textId="4D6E677E" w:rsidR="004B7218" w:rsidRPr="00EE16E0" w:rsidRDefault="004B7218" w:rsidP="006F2884">
            <w:pPr>
              <w:jc w:val="right"/>
              <w:rPr>
                <w:rFonts w:asciiTheme="minorHAnsi" w:hAnsiTheme="minorHAnsi" w:cstheme="minorHAnsi"/>
                <w:color w:val="000000" w:themeColor="text1"/>
                <w:szCs w:val="20"/>
              </w:rPr>
            </w:pPr>
            <w:r>
              <w:rPr>
                <w:color w:val="000000" w:themeColor="text1"/>
                <w:szCs w:val="20"/>
              </w:rPr>
              <w:t>468 193</w:t>
            </w:r>
            <w:r w:rsidRPr="00EE16E0">
              <w:rPr>
                <w:color w:val="000000" w:themeColor="text1"/>
                <w:szCs w:val="20"/>
              </w:rPr>
              <w:t xml:space="preserve"> </w:t>
            </w:r>
          </w:p>
        </w:tc>
        <w:tc>
          <w:tcPr>
            <w:tcW w:w="1069" w:type="pct"/>
            <w:tcBorders>
              <w:top w:val="nil"/>
              <w:left w:val="nil"/>
              <w:right w:val="nil"/>
            </w:tcBorders>
            <w:shd w:val="clear" w:color="auto" w:fill="FFFFFF"/>
            <w:vAlign w:val="bottom"/>
          </w:tcPr>
          <w:p w14:paraId="7B2EB265" w14:textId="7813BE07" w:rsidR="004B7218" w:rsidRPr="00EE16E0" w:rsidRDefault="004B7218" w:rsidP="006F2884">
            <w:pPr>
              <w:jc w:val="right"/>
              <w:rPr>
                <w:color w:val="000000" w:themeColor="text1"/>
                <w:szCs w:val="20"/>
              </w:rPr>
            </w:pPr>
            <w:r w:rsidRPr="00EE16E0">
              <w:rPr>
                <w:color w:val="000000" w:themeColor="text1"/>
                <w:szCs w:val="20"/>
              </w:rPr>
              <w:t xml:space="preserve">443 943 </w:t>
            </w:r>
          </w:p>
        </w:tc>
      </w:tr>
      <w:tr w:rsidR="004B7218" w:rsidRPr="00EE16E0" w14:paraId="4CC1A2A0" w14:textId="77777777" w:rsidTr="004B7218">
        <w:trPr>
          <w:trHeight w:val="255"/>
        </w:trPr>
        <w:tc>
          <w:tcPr>
            <w:tcW w:w="2861" w:type="pct"/>
            <w:tcBorders>
              <w:top w:val="nil"/>
              <w:left w:val="nil"/>
              <w:bottom w:val="single" w:sz="4" w:space="0" w:color="auto"/>
              <w:right w:val="nil"/>
            </w:tcBorders>
            <w:shd w:val="clear" w:color="auto" w:fill="FFFFFF"/>
            <w:noWrap/>
            <w:vAlign w:val="bottom"/>
          </w:tcPr>
          <w:p w14:paraId="574372E0" w14:textId="77777777" w:rsidR="004B7218" w:rsidRPr="00EE16E0" w:rsidRDefault="004B7218" w:rsidP="006F2884">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Накопичена амортизація</w:t>
            </w:r>
          </w:p>
        </w:tc>
        <w:tc>
          <w:tcPr>
            <w:tcW w:w="1069" w:type="pct"/>
            <w:tcBorders>
              <w:top w:val="nil"/>
              <w:left w:val="nil"/>
              <w:bottom w:val="single" w:sz="4" w:space="0" w:color="auto"/>
              <w:right w:val="nil"/>
            </w:tcBorders>
            <w:shd w:val="clear" w:color="auto" w:fill="FFFFFF"/>
            <w:vAlign w:val="bottom"/>
          </w:tcPr>
          <w:p w14:paraId="519AE3E6" w14:textId="078B1990" w:rsidR="004B7218" w:rsidRPr="00EE16E0" w:rsidRDefault="004B7218" w:rsidP="006F2884">
            <w:pPr>
              <w:jc w:val="right"/>
              <w:rPr>
                <w:rFonts w:asciiTheme="minorHAnsi" w:hAnsiTheme="minorHAnsi" w:cstheme="minorHAnsi"/>
                <w:color w:val="000000" w:themeColor="text1"/>
                <w:szCs w:val="20"/>
              </w:rPr>
            </w:pPr>
            <w:r w:rsidRPr="00EE16E0">
              <w:rPr>
                <w:color w:val="000000" w:themeColor="text1"/>
                <w:szCs w:val="20"/>
              </w:rPr>
              <w:t>(</w:t>
            </w:r>
            <w:r>
              <w:rPr>
                <w:color w:val="000000" w:themeColor="text1"/>
                <w:szCs w:val="20"/>
              </w:rPr>
              <w:t>212 262</w:t>
            </w:r>
            <w:r w:rsidRPr="00EE16E0">
              <w:rPr>
                <w:color w:val="000000" w:themeColor="text1"/>
                <w:szCs w:val="20"/>
              </w:rPr>
              <w:t>)</w:t>
            </w:r>
          </w:p>
        </w:tc>
        <w:tc>
          <w:tcPr>
            <w:tcW w:w="1069" w:type="pct"/>
            <w:tcBorders>
              <w:top w:val="nil"/>
              <w:left w:val="nil"/>
              <w:bottom w:val="single" w:sz="4" w:space="0" w:color="auto"/>
              <w:right w:val="nil"/>
            </w:tcBorders>
            <w:shd w:val="clear" w:color="auto" w:fill="FFFFFF"/>
            <w:vAlign w:val="bottom"/>
          </w:tcPr>
          <w:p w14:paraId="215635A1" w14:textId="286E1166" w:rsidR="004B7218" w:rsidRPr="00EE16E0" w:rsidRDefault="004B7218" w:rsidP="006F2884">
            <w:pPr>
              <w:jc w:val="right"/>
              <w:rPr>
                <w:color w:val="000000" w:themeColor="text1"/>
                <w:szCs w:val="20"/>
              </w:rPr>
            </w:pPr>
            <w:r w:rsidRPr="00EE16E0">
              <w:rPr>
                <w:color w:val="000000" w:themeColor="text1"/>
                <w:szCs w:val="20"/>
              </w:rPr>
              <w:t>(179 936)</w:t>
            </w:r>
          </w:p>
        </w:tc>
      </w:tr>
      <w:tr w:rsidR="004B7218" w:rsidRPr="00EE16E0" w14:paraId="46A4A8E4" w14:textId="77777777" w:rsidTr="004B7218">
        <w:trPr>
          <w:trHeight w:val="255"/>
        </w:trPr>
        <w:tc>
          <w:tcPr>
            <w:tcW w:w="2861" w:type="pct"/>
            <w:tcBorders>
              <w:top w:val="single" w:sz="4" w:space="0" w:color="auto"/>
              <w:left w:val="nil"/>
              <w:right w:val="nil"/>
            </w:tcBorders>
            <w:shd w:val="clear" w:color="auto" w:fill="FFFFFF"/>
            <w:noWrap/>
            <w:vAlign w:val="bottom"/>
          </w:tcPr>
          <w:p w14:paraId="3B88C56B" w14:textId="77777777" w:rsidR="004B7218" w:rsidRPr="00EE16E0" w:rsidRDefault="004B7218" w:rsidP="006F2884">
            <w:pPr>
              <w:jc w:val="left"/>
              <w:rPr>
                <w:rFonts w:asciiTheme="minorHAnsi" w:hAnsiTheme="minorHAnsi" w:cstheme="minorHAnsi"/>
                <w:b/>
                <w:bCs/>
                <w:color w:val="000000" w:themeColor="text1"/>
                <w:szCs w:val="20"/>
              </w:rPr>
            </w:pPr>
            <w:r w:rsidRPr="00EE16E0">
              <w:rPr>
                <w:rFonts w:asciiTheme="minorHAnsi" w:hAnsiTheme="minorHAnsi" w:cstheme="minorHAnsi"/>
                <w:b/>
                <w:bCs/>
                <w:color w:val="000000" w:themeColor="text1"/>
                <w:szCs w:val="20"/>
              </w:rPr>
              <w:t>Чиста балансова вартість</w:t>
            </w:r>
          </w:p>
        </w:tc>
        <w:tc>
          <w:tcPr>
            <w:tcW w:w="1069" w:type="pct"/>
            <w:tcBorders>
              <w:top w:val="single" w:sz="4" w:space="0" w:color="auto"/>
              <w:left w:val="nil"/>
              <w:right w:val="nil"/>
            </w:tcBorders>
            <w:shd w:val="clear" w:color="auto" w:fill="FFFFFF"/>
            <w:vAlign w:val="bottom"/>
          </w:tcPr>
          <w:p w14:paraId="090A65ED" w14:textId="0467407F" w:rsidR="004B7218" w:rsidRPr="00EE16E0" w:rsidRDefault="004B7218" w:rsidP="006F2884">
            <w:pPr>
              <w:jc w:val="right"/>
              <w:rPr>
                <w:rFonts w:asciiTheme="minorHAnsi" w:hAnsiTheme="minorHAnsi" w:cstheme="minorHAnsi"/>
                <w:b/>
                <w:bCs/>
                <w:color w:val="000000" w:themeColor="text1"/>
                <w:szCs w:val="20"/>
                <w:lang w:val="ru-RU"/>
              </w:rPr>
            </w:pPr>
            <w:r w:rsidRPr="00EE16E0">
              <w:rPr>
                <w:b/>
                <w:bCs/>
                <w:color w:val="000000" w:themeColor="text1"/>
                <w:szCs w:val="20"/>
              </w:rPr>
              <w:t>2</w:t>
            </w:r>
            <w:r>
              <w:rPr>
                <w:b/>
                <w:bCs/>
                <w:color w:val="000000" w:themeColor="text1"/>
                <w:szCs w:val="20"/>
              </w:rPr>
              <w:t>55</w:t>
            </w:r>
            <w:r w:rsidRPr="00EE16E0">
              <w:rPr>
                <w:b/>
                <w:bCs/>
                <w:color w:val="000000" w:themeColor="text1"/>
                <w:szCs w:val="20"/>
              </w:rPr>
              <w:t xml:space="preserve"> </w:t>
            </w:r>
            <w:r>
              <w:rPr>
                <w:b/>
                <w:bCs/>
                <w:color w:val="000000" w:themeColor="text1"/>
                <w:szCs w:val="20"/>
              </w:rPr>
              <w:t>931</w:t>
            </w:r>
            <w:r w:rsidRPr="00EE16E0">
              <w:rPr>
                <w:b/>
                <w:bCs/>
                <w:color w:val="000000" w:themeColor="text1"/>
                <w:szCs w:val="20"/>
              </w:rPr>
              <w:t xml:space="preserve"> </w:t>
            </w:r>
          </w:p>
        </w:tc>
        <w:tc>
          <w:tcPr>
            <w:tcW w:w="1069" w:type="pct"/>
            <w:tcBorders>
              <w:top w:val="single" w:sz="4" w:space="0" w:color="auto"/>
              <w:left w:val="nil"/>
              <w:right w:val="nil"/>
            </w:tcBorders>
            <w:shd w:val="clear" w:color="auto" w:fill="FFFFFF"/>
            <w:vAlign w:val="bottom"/>
          </w:tcPr>
          <w:p w14:paraId="4E361C90" w14:textId="219E3D77" w:rsidR="004B7218" w:rsidRPr="00EE16E0" w:rsidRDefault="004B7218" w:rsidP="006F2884">
            <w:pPr>
              <w:jc w:val="right"/>
              <w:rPr>
                <w:b/>
                <w:bCs/>
                <w:color w:val="000000" w:themeColor="text1"/>
                <w:szCs w:val="20"/>
              </w:rPr>
            </w:pPr>
            <w:r w:rsidRPr="00EE16E0">
              <w:rPr>
                <w:b/>
                <w:bCs/>
                <w:color w:val="000000" w:themeColor="text1"/>
                <w:szCs w:val="20"/>
              </w:rPr>
              <w:t xml:space="preserve">264 007 </w:t>
            </w:r>
          </w:p>
        </w:tc>
      </w:tr>
      <w:tr w:rsidR="004B7218" w:rsidRPr="00EE16E0" w14:paraId="3DCC68CD" w14:textId="77777777" w:rsidTr="0062384D">
        <w:trPr>
          <w:trHeight w:val="68"/>
        </w:trPr>
        <w:tc>
          <w:tcPr>
            <w:tcW w:w="2861" w:type="pct"/>
            <w:tcBorders>
              <w:left w:val="nil"/>
              <w:right w:val="nil"/>
            </w:tcBorders>
            <w:shd w:val="clear" w:color="auto" w:fill="FFFFFF"/>
            <w:noWrap/>
            <w:vAlign w:val="bottom"/>
          </w:tcPr>
          <w:p w14:paraId="35F008EC" w14:textId="77777777" w:rsidR="004B7218" w:rsidRPr="00EE16E0" w:rsidRDefault="004B7218" w:rsidP="006F2884">
            <w:pPr>
              <w:jc w:val="left"/>
              <w:rPr>
                <w:rFonts w:asciiTheme="minorHAnsi" w:hAnsiTheme="minorHAnsi" w:cstheme="minorHAnsi"/>
                <w:b/>
                <w:bCs/>
                <w:color w:val="000000" w:themeColor="text1"/>
                <w:szCs w:val="20"/>
              </w:rPr>
            </w:pPr>
          </w:p>
        </w:tc>
        <w:tc>
          <w:tcPr>
            <w:tcW w:w="1069" w:type="pct"/>
            <w:tcBorders>
              <w:left w:val="nil"/>
              <w:right w:val="nil"/>
            </w:tcBorders>
            <w:shd w:val="clear" w:color="auto" w:fill="FFFFFF"/>
          </w:tcPr>
          <w:p w14:paraId="54931442" w14:textId="770CAB4F" w:rsidR="004B7218" w:rsidRPr="00EE16E0" w:rsidRDefault="004B7218" w:rsidP="006F2884">
            <w:pPr>
              <w:jc w:val="right"/>
              <w:rPr>
                <w:rFonts w:asciiTheme="minorHAnsi" w:hAnsiTheme="minorHAnsi" w:cstheme="minorHAnsi"/>
                <w:color w:val="000000" w:themeColor="text1"/>
                <w:szCs w:val="20"/>
              </w:rPr>
            </w:pPr>
            <w:r w:rsidRPr="00EE16E0">
              <w:rPr>
                <w:color w:val="000000" w:themeColor="text1"/>
                <w:szCs w:val="20"/>
              </w:rPr>
              <w:t xml:space="preserve">-  </w:t>
            </w:r>
          </w:p>
        </w:tc>
        <w:tc>
          <w:tcPr>
            <w:tcW w:w="1069" w:type="pct"/>
            <w:tcBorders>
              <w:left w:val="nil"/>
              <w:right w:val="nil"/>
            </w:tcBorders>
            <w:shd w:val="clear" w:color="auto" w:fill="FFFFFF"/>
          </w:tcPr>
          <w:p w14:paraId="524190A5" w14:textId="4EA8B5AD" w:rsidR="004B7218" w:rsidRPr="00EE16E0" w:rsidRDefault="004B7218" w:rsidP="006F2884">
            <w:pPr>
              <w:jc w:val="right"/>
              <w:rPr>
                <w:color w:val="000000" w:themeColor="text1"/>
                <w:szCs w:val="20"/>
              </w:rPr>
            </w:pPr>
            <w:r w:rsidRPr="00EE16E0">
              <w:rPr>
                <w:color w:val="000000" w:themeColor="text1"/>
                <w:szCs w:val="20"/>
              </w:rPr>
              <w:t xml:space="preserve">-  </w:t>
            </w:r>
          </w:p>
        </w:tc>
      </w:tr>
      <w:tr w:rsidR="004B7218" w:rsidRPr="00EE16E0" w14:paraId="69FA365A" w14:textId="77777777" w:rsidTr="004B7218">
        <w:trPr>
          <w:trHeight w:val="255"/>
        </w:trPr>
        <w:tc>
          <w:tcPr>
            <w:tcW w:w="2861" w:type="pct"/>
            <w:shd w:val="clear" w:color="auto" w:fill="FFFFFF"/>
            <w:vAlign w:val="bottom"/>
          </w:tcPr>
          <w:p w14:paraId="65DD62DA" w14:textId="77777777" w:rsidR="004B7218" w:rsidRPr="00EE16E0" w:rsidRDefault="004B7218" w:rsidP="00C36C6B">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Об'єкти незавершеного будівництва</w:t>
            </w:r>
          </w:p>
        </w:tc>
        <w:tc>
          <w:tcPr>
            <w:tcW w:w="1069" w:type="pct"/>
            <w:shd w:val="clear" w:color="auto" w:fill="FFFFFF"/>
          </w:tcPr>
          <w:p w14:paraId="792631FD" w14:textId="383F02F6" w:rsidR="004B7218" w:rsidRPr="006F2884" w:rsidRDefault="004B7218" w:rsidP="00C36C6B">
            <w:pPr>
              <w:jc w:val="right"/>
              <w:rPr>
                <w:rFonts w:asciiTheme="minorHAnsi" w:hAnsiTheme="minorHAnsi" w:cstheme="minorHAnsi"/>
                <w:color w:val="000000" w:themeColor="text1"/>
                <w:szCs w:val="20"/>
                <w:highlight w:val="yellow"/>
              </w:rPr>
            </w:pPr>
            <w:r w:rsidRPr="003815EC">
              <w:t xml:space="preserve">8 224 </w:t>
            </w:r>
          </w:p>
        </w:tc>
        <w:tc>
          <w:tcPr>
            <w:tcW w:w="1069" w:type="pct"/>
            <w:shd w:val="clear" w:color="auto" w:fill="FFFFFF"/>
            <w:vAlign w:val="bottom"/>
          </w:tcPr>
          <w:p w14:paraId="7800063D" w14:textId="394E9792" w:rsidR="004B7218" w:rsidRPr="00EE16E0" w:rsidRDefault="004B7218" w:rsidP="00C36C6B">
            <w:pPr>
              <w:jc w:val="right"/>
              <w:rPr>
                <w:color w:val="000000" w:themeColor="text1"/>
                <w:szCs w:val="20"/>
              </w:rPr>
            </w:pPr>
            <w:r w:rsidRPr="00EE16E0">
              <w:rPr>
                <w:color w:val="000000" w:themeColor="text1"/>
                <w:szCs w:val="20"/>
              </w:rPr>
              <w:t xml:space="preserve">7 341 </w:t>
            </w:r>
          </w:p>
        </w:tc>
      </w:tr>
      <w:tr w:rsidR="004B7218" w:rsidRPr="00EE16E0" w14:paraId="60C506D8" w14:textId="77777777" w:rsidTr="004B7218">
        <w:trPr>
          <w:trHeight w:val="255"/>
        </w:trPr>
        <w:tc>
          <w:tcPr>
            <w:tcW w:w="2861" w:type="pct"/>
            <w:shd w:val="clear" w:color="auto" w:fill="FFFFFF"/>
            <w:vAlign w:val="bottom"/>
          </w:tcPr>
          <w:p w14:paraId="7A08A8AB" w14:textId="77777777" w:rsidR="004B7218" w:rsidRPr="00EE16E0" w:rsidRDefault="004B7218" w:rsidP="00C36C6B">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Будинки та споруди</w:t>
            </w:r>
          </w:p>
        </w:tc>
        <w:tc>
          <w:tcPr>
            <w:tcW w:w="1069" w:type="pct"/>
            <w:shd w:val="clear" w:color="auto" w:fill="FFFFFF"/>
          </w:tcPr>
          <w:p w14:paraId="393B9C09" w14:textId="05473DB6" w:rsidR="004B7218" w:rsidRPr="006F2884" w:rsidRDefault="004B7218" w:rsidP="00C36C6B">
            <w:pPr>
              <w:jc w:val="right"/>
              <w:rPr>
                <w:rFonts w:asciiTheme="minorHAnsi" w:hAnsiTheme="minorHAnsi" w:cstheme="minorHAnsi"/>
                <w:color w:val="000000" w:themeColor="text1"/>
                <w:szCs w:val="20"/>
                <w:highlight w:val="yellow"/>
              </w:rPr>
            </w:pPr>
            <w:r w:rsidRPr="003815EC">
              <w:t xml:space="preserve">143 066 </w:t>
            </w:r>
          </w:p>
        </w:tc>
        <w:tc>
          <w:tcPr>
            <w:tcW w:w="1069" w:type="pct"/>
            <w:shd w:val="clear" w:color="auto" w:fill="FFFFFF"/>
            <w:vAlign w:val="bottom"/>
          </w:tcPr>
          <w:p w14:paraId="725806E0" w14:textId="1719A132" w:rsidR="004B7218" w:rsidRPr="00EE16E0" w:rsidRDefault="004B7218" w:rsidP="00C36C6B">
            <w:pPr>
              <w:jc w:val="right"/>
              <w:rPr>
                <w:color w:val="000000" w:themeColor="text1"/>
                <w:szCs w:val="20"/>
              </w:rPr>
            </w:pPr>
            <w:r w:rsidRPr="00EE16E0">
              <w:rPr>
                <w:color w:val="000000" w:themeColor="text1"/>
                <w:szCs w:val="20"/>
              </w:rPr>
              <w:t xml:space="preserve">145 896 </w:t>
            </w:r>
          </w:p>
        </w:tc>
      </w:tr>
      <w:tr w:rsidR="004B7218" w:rsidRPr="00EE16E0" w14:paraId="41A41D6E" w14:textId="77777777" w:rsidTr="004B7218">
        <w:trPr>
          <w:trHeight w:val="255"/>
        </w:trPr>
        <w:tc>
          <w:tcPr>
            <w:tcW w:w="2861" w:type="pct"/>
            <w:shd w:val="clear" w:color="auto" w:fill="FFFFFF"/>
            <w:vAlign w:val="bottom"/>
          </w:tcPr>
          <w:p w14:paraId="01A465DD" w14:textId="77777777" w:rsidR="004B7218" w:rsidRPr="00EE16E0" w:rsidRDefault="004B7218" w:rsidP="00C36C6B">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Машини та обладнання</w:t>
            </w:r>
          </w:p>
        </w:tc>
        <w:tc>
          <w:tcPr>
            <w:tcW w:w="1069" w:type="pct"/>
            <w:shd w:val="clear" w:color="auto" w:fill="FFFFFF"/>
          </w:tcPr>
          <w:p w14:paraId="1AE47726" w14:textId="27ADF1DC" w:rsidR="004B7218" w:rsidRPr="006F2884" w:rsidRDefault="004B7218" w:rsidP="00C36C6B">
            <w:pPr>
              <w:jc w:val="right"/>
              <w:rPr>
                <w:rFonts w:asciiTheme="minorHAnsi" w:hAnsiTheme="minorHAnsi" w:cstheme="minorHAnsi"/>
                <w:color w:val="000000" w:themeColor="text1"/>
                <w:szCs w:val="20"/>
                <w:highlight w:val="yellow"/>
                <w:lang w:val="ru-RU"/>
              </w:rPr>
            </w:pPr>
            <w:r w:rsidRPr="003815EC">
              <w:t xml:space="preserve">91 495 </w:t>
            </w:r>
          </w:p>
        </w:tc>
        <w:tc>
          <w:tcPr>
            <w:tcW w:w="1069" w:type="pct"/>
            <w:shd w:val="clear" w:color="auto" w:fill="FFFFFF"/>
            <w:vAlign w:val="bottom"/>
          </w:tcPr>
          <w:p w14:paraId="1E1C30C2" w14:textId="4D49B6E2" w:rsidR="004B7218" w:rsidRPr="00EE16E0" w:rsidRDefault="004B7218" w:rsidP="00C36C6B">
            <w:pPr>
              <w:jc w:val="right"/>
              <w:rPr>
                <w:color w:val="000000" w:themeColor="text1"/>
                <w:szCs w:val="20"/>
              </w:rPr>
            </w:pPr>
            <w:r w:rsidRPr="00EE16E0">
              <w:rPr>
                <w:color w:val="000000" w:themeColor="text1"/>
                <w:szCs w:val="20"/>
              </w:rPr>
              <w:t xml:space="preserve">94 483 </w:t>
            </w:r>
          </w:p>
        </w:tc>
      </w:tr>
      <w:tr w:rsidR="004B7218" w:rsidRPr="00EE16E0" w14:paraId="7BEBE062" w14:textId="77777777" w:rsidTr="004B7218">
        <w:trPr>
          <w:trHeight w:val="255"/>
        </w:trPr>
        <w:tc>
          <w:tcPr>
            <w:tcW w:w="2861" w:type="pct"/>
            <w:shd w:val="clear" w:color="auto" w:fill="FFFFFF"/>
            <w:vAlign w:val="bottom"/>
          </w:tcPr>
          <w:p w14:paraId="5009CE17" w14:textId="77777777" w:rsidR="004B7218" w:rsidRPr="00EE16E0" w:rsidRDefault="004B7218" w:rsidP="00C36C6B">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Транспортні засоби</w:t>
            </w:r>
          </w:p>
        </w:tc>
        <w:tc>
          <w:tcPr>
            <w:tcW w:w="1069" w:type="pct"/>
            <w:shd w:val="clear" w:color="auto" w:fill="FFFFFF"/>
          </w:tcPr>
          <w:p w14:paraId="23342CFC" w14:textId="24522A31" w:rsidR="004B7218" w:rsidRPr="006F2884" w:rsidRDefault="004B7218" w:rsidP="00C36C6B">
            <w:pPr>
              <w:jc w:val="right"/>
              <w:rPr>
                <w:rFonts w:asciiTheme="minorHAnsi" w:hAnsiTheme="minorHAnsi" w:cstheme="minorHAnsi"/>
                <w:color w:val="000000" w:themeColor="text1"/>
                <w:szCs w:val="20"/>
                <w:highlight w:val="yellow"/>
              </w:rPr>
            </w:pPr>
            <w:r w:rsidRPr="003815EC">
              <w:t xml:space="preserve">6 496 </w:t>
            </w:r>
          </w:p>
        </w:tc>
        <w:tc>
          <w:tcPr>
            <w:tcW w:w="1069" w:type="pct"/>
            <w:shd w:val="clear" w:color="auto" w:fill="FFFFFF"/>
            <w:vAlign w:val="bottom"/>
          </w:tcPr>
          <w:p w14:paraId="743594E2" w14:textId="1FF9CD07" w:rsidR="004B7218" w:rsidRPr="00EE16E0" w:rsidRDefault="004B7218" w:rsidP="00C36C6B">
            <w:pPr>
              <w:jc w:val="right"/>
              <w:rPr>
                <w:color w:val="000000" w:themeColor="text1"/>
                <w:szCs w:val="20"/>
              </w:rPr>
            </w:pPr>
            <w:r w:rsidRPr="00EE16E0">
              <w:rPr>
                <w:color w:val="000000" w:themeColor="text1"/>
                <w:szCs w:val="20"/>
              </w:rPr>
              <w:t xml:space="preserve">8 079 </w:t>
            </w:r>
          </w:p>
        </w:tc>
      </w:tr>
      <w:tr w:rsidR="004B7218" w:rsidRPr="00EE16E0" w14:paraId="4F59155F" w14:textId="77777777" w:rsidTr="004B7218">
        <w:trPr>
          <w:trHeight w:val="255"/>
        </w:trPr>
        <w:tc>
          <w:tcPr>
            <w:tcW w:w="2861" w:type="pct"/>
            <w:shd w:val="clear" w:color="auto" w:fill="FFFFFF"/>
            <w:noWrap/>
            <w:vAlign w:val="bottom"/>
          </w:tcPr>
          <w:p w14:paraId="230C13C7" w14:textId="77777777" w:rsidR="004B7218" w:rsidRPr="00EE16E0" w:rsidRDefault="004B7218" w:rsidP="00C36C6B">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Інструменти, прилади та інвентар</w:t>
            </w:r>
          </w:p>
        </w:tc>
        <w:tc>
          <w:tcPr>
            <w:tcW w:w="1069" w:type="pct"/>
            <w:shd w:val="clear" w:color="auto" w:fill="FFFFFF"/>
          </w:tcPr>
          <w:p w14:paraId="215F7CA8" w14:textId="73B0B2F9" w:rsidR="004B7218" w:rsidRPr="006F2884" w:rsidRDefault="004B7218" w:rsidP="00C36C6B">
            <w:pPr>
              <w:jc w:val="right"/>
              <w:rPr>
                <w:rFonts w:asciiTheme="minorHAnsi" w:hAnsiTheme="minorHAnsi" w:cstheme="minorHAnsi"/>
                <w:color w:val="000000" w:themeColor="text1"/>
                <w:szCs w:val="20"/>
                <w:highlight w:val="yellow"/>
                <w:lang w:val="en-US"/>
              </w:rPr>
            </w:pPr>
            <w:r w:rsidRPr="003815EC">
              <w:t xml:space="preserve">6 215 </w:t>
            </w:r>
          </w:p>
        </w:tc>
        <w:tc>
          <w:tcPr>
            <w:tcW w:w="1069" w:type="pct"/>
            <w:shd w:val="clear" w:color="auto" w:fill="FFFFFF"/>
            <w:vAlign w:val="bottom"/>
          </w:tcPr>
          <w:p w14:paraId="25186229" w14:textId="4D3B3F9D" w:rsidR="004B7218" w:rsidRPr="00EE16E0" w:rsidRDefault="004B7218" w:rsidP="00C36C6B">
            <w:pPr>
              <w:jc w:val="right"/>
              <w:rPr>
                <w:color w:val="000000" w:themeColor="text1"/>
                <w:szCs w:val="20"/>
              </w:rPr>
            </w:pPr>
            <w:r w:rsidRPr="00EE16E0">
              <w:rPr>
                <w:color w:val="000000" w:themeColor="text1"/>
                <w:szCs w:val="20"/>
              </w:rPr>
              <w:t xml:space="preserve">7 774 </w:t>
            </w:r>
          </w:p>
        </w:tc>
      </w:tr>
      <w:tr w:rsidR="004B7218" w:rsidRPr="00EE16E0" w14:paraId="7F839BF0" w14:textId="77777777" w:rsidTr="004B7218">
        <w:trPr>
          <w:trHeight w:val="255"/>
        </w:trPr>
        <w:tc>
          <w:tcPr>
            <w:tcW w:w="2861" w:type="pct"/>
            <w:tcBorders>
              <w:left w:val="nil"/>
              <w:bottom w:val="single" w:sz="4" w:space="0" w:color="auto"/>
              <w:right w:val="nil"/>
            </w:tcBorders>
            <w:shd w:val="clear" w:color="auto" w:fill="FFFFFF"/>
            <w:noWrap/>
            <w:vAlign w:val="bottom"/>
          </w:tcPr>
          <w:p w14:paraId="21D01844" w14:textId="77777777" w:rsidR="004B7218" w:rsidRPr="00EE16E0" w:rsidRDefault="004B7218" w:rsidP="00C36C6B">
            <w:pPr>
              <w:jc w:val="left"/>
              <w:rPr>
                <w:rFonts w:asciiTheme="minorHAnsi" w:hAnsiTheme="minorHAnsi" w:cstheme="minorHAnsi"/>
                <w:color w:val="000000" w:themeColor="text1"/>
                <w:szCs w:val="20"/>
              </w:rPr>
            </w:pPr>
            <w:r w:rsidRPr="00EE16E0">
              <w:rPr>
                <w:rFonts w:asciiTheme="minorHAnsi" w:hAnsiTheme="minorHAnsi" w:cstheme="minorHAnsi"/>
                <w:color w:val="000000" w:themeColor="text1"/>
                <w:szCs w:val="20"/>
              </w:rPr>
              <w:t>Інші</w:t>
            </w:r>
          </w:p>
        </w:tc>
        <w:tc>
          <w:tcPr>
            <w:tcW w:w="1069" w:type="pct"/>
            <w:tcBorders>
              <w:left w:val="nil"/>
              <w:bottom w:val="single" w:sz="4" w:space="0" w:color="auto"/>
              <w:right w:val="nil"/>
            </w:tcBorders>
            <w:shd w:val="clear" w:color="auto" w:fill="FFFFFF"/>
          </w:tcPr>
          <w:p w14:paraId="473FB175" w14:textId="09061314" w:rsidR="004B7218" w:rsidRPr="006F2884" w:rsidRDefault="004B7218" w:rsidP="00C36C6B">
            <w:pPr>
              <w:jc w:val="right"/>
              <w:rPr>
                <w:rFonts w:asciiTheme="minorHAnsi" w:hAnsiTheme="minorHAnsi" w:cstheme="minorHAnsi"/>
                <w:color w:val="000000" w:themeColor="text1"/>
                <w:szCs w:val="20"/>
                <w:highlight w:val="yellow"/>
              </w:rPr>
            </w:pPr>
            <w:r w:rsidRPr="003815EC">
              <w:t xml:space="preserve">435 </w:t>
            </w:r>
          </w:p>
        </w:tc>
        <w:tc>
          <w:tcPr>
            <w:tcW w:w="1069" w:type="pct"/>
            <w:tcBorders>
              <w:left w:val="nil"/>
              <w:bottom w:val="single" w:sz="4" w:space="0" w:color="auto"/>
              <w:right w:val="nil"/>
            </w:tcBorders>
            <w:shd w:val="clear" w:color="auto" w:fill="FFFFFF"/>
            <w:vAlign w:val="bottom"/>
          </w:tcPr>
          <w:p w14:paraId="7F67EB4E" w14:textId="75043B1B" w:rsidR="004B7218" w:rsidRPr="00EE16E0" w:rsidRDefault="004B7218" w:rsidP="00C36C6B">
            <w:pPr>
              <w:jc w:val="right"/>
              <w:rPr>
                <w:color w:val="000000" w:themeColor="text1"/>
                <w:szCs w:val="20"/>
              </w:rPr>
            </w:pPr>
            <w:r w:rsidRPr="00EE16E0">
              <w:rPr>
                <w:color w:val="000000" w:themeColor="text1"/>
                <w:szCs w:val="20"/>
              </w:rPr>
              <w:t xml:space="preserve">434 </w:t>
            </w:r>
          </w:p>
        </w:tc>
      </w:tr>
      <w:tr w:rsidR="004B7218" w:rsidRPr="00EE16E0" w14:paraId="186F6E92" w14:textId="77777777" w:rsidTr="004B7218">
        <w:trPr>
          <w:trHeight w:val="255"/>
        </w:trPr>
        <w:tc>
          <w:tcPr>
            <w:tcW w:w="2861" w:type="pct"/>
            <w:tcBorders>
              <w:top w:val="single" w:sz="4" w:space="0" w:color="auto"/>
              <w:left w:val="nil"/>
              <w:bottom w:val="nil"/>
              <w:right w:val="nil"/>
            </w:tcBorders>
            <w:shd w:val="clear" w:color="auto" w:fill="FFFFFF"/>
            <w:noWrap/>
            <w:vAlign w:val="bottom"/>
          </w:tcPr>
          <w:p w14:paraId="77023228" w14:textId="77777777" w:rsidR="004B7218" w:rsidRPr="00EE16E0" w:rsidRDefault="004B7218" w:rsidP="006F2884">
            <w:pPr>
              <w:jc w:val="left"/>
              <w:rPr>
                <w:rFonts w:asciiTheme="minorHAnsi" w:hAnsiTheme="minorHAnsi" w:cstheme="minorHAnsi"/>
                <w:b/>
                <w:bCs/>
                <w:color w:val="000000" w:themeColor="text1"/>
                <w:szCs w:val="20"/>
              </w:rPr>
            </w:pPr>
            <w:r w:rsidRPr="00EE16E0">
              <w:rPr>
                <w:rFonts w:asciiTheme="minorHAnsi" w:hAnsiTheme="minorHAnsi" w:cstheme="minorHAnsi"/>
                <w:b/>
                <w:bCs/>
                <w:color w:val="000000" w:themeColor="text1"/>
                <w:szCs w:val="20"/>
              </w:rPr>
              <w:t>Чиста балансова вартість</w:t>
            </w:r>
          </w:p>
        </w:tc>
        <w:tc>
          <w:tcPr>
            <w:tcW w:w="1069" w:type="pct"/>
            <w:tcBorders>
              <w:top w:val="single" w:sz="4" w:space="0" w:color="auto"/>
              <w:left w:val="nil"/>
              <w:bottom w:val="nil"/>
              <w:right w:val="nil"/>
            </w:tcBorders>
            <w:shd w:val="clear" w:color="auto" w:fill="FFFFFF"/>
            <w:vAlign w:val="bottom"/>
          </w:tcPr>
          <w:p w14:paraId="2A4B1EFF" w14:textId="29F7DB12" w:rsidR="004B7218" w:rsidRPr="00EE16E0" w:rsidRDefault="004B7218" w:rsidP="006F2884">
            <w:pPr>
              <w:jc w:val="right"/>
              <w:rPr>
                <w:rFonts w:asciiTheme="minorHAnsi" w:hAnsiTheme="minorHAnsi" w:cstheme="minorHAnsi"/>
                <w:b/>
                <w:bCs/>
                <w:color w:val="000000" w:themeColor="text1"/>
                <w:szCs w:val="20"/>
              </w:rPr>
            </w:pPr>
            <w:r>
              <w:rPr>
                <w:b/>
                <w:bCs/>
                <w:color w:val="000000" w:themeColor="text1"/>
                <w:szCs w:val="20"/>
              </w:rPr>
              <w:t>255 931</w:t>
            </w:r>
            <w:r w:rsidRPr="00EE16E0">
              <w:rPr>
                <w:b/>
                <w:bCs/>
                <w:color w:val="000000" w:themeColor="text1"/>
                <w:szCs w:val="20"/>
              </w:rPr>
              <w:t xml:space="preserve"> </w:t>
            </w:r>
          </w:p>
        </w:tc>
        <w:tc>
          <w:tcPr>
            <w:tcW w:w="1069" w:type="pct"/>
            <w:tcBorders>
              <w:top w:val="single" w:sz="4" w:space="0" w:color="auto"/>
              <w:left w:val="nil"/>
              <w:bottom w:val="nil"/>
              <w:right w:val="nil"/>
            </w:tcBorders>
            <w:shd w:val="clear" w:color="auto" w:fill="FFFFFF"/>
            <w:vAlign w:val="bottom"/>
          </w:tcPr>
          <w:p w14:paraId="31A965D1" w14:textId="3E5C692E" w:rsidR="004B7218" w:rsidRPr="00EE16E0" w:rsidRDefault="004B7218" w:rsidP="006F2884">
            <w:pPr>
              <w:jc w:val="right"/>
              <w:rPr>
                <w:b/>
                <w:bCs/>
                <w:color w:val="000000" w:themeColor="text1"/>
                <w:szCs w:val="20"/>
              </w:rPr>
            </w:pPr>
            <w:r w:rsidRPr="00EE16E0">
              <w:rPr>
                <w:b/>
                <w:bCs/>
                <w:color w:val="000000" w:themeColor="text1"/>
                <w:szCs w:val="20"/>
              </w:rPr>
              <w:t xml:space="preserve">264 007 </w:t>
            </w:r>
          </w:p>
        </w:tc>
      </w:tr>
    </w:tbl>
    <w:p w14:paraId="05F196CF" w14:textId="6B1C0B70" w:rsidR="00D7008C" w:rsidRPr="00EE16E0" w:rsidRDefault="00D7008C" w:rsidP="00F35172">
      <w:pPr>
        <w:pStyle w:val="af7"/>
        <w:spacing w:before="240"/>
        <w:rPr>
          <w:rFonts w:asciiTheme="minorHAnsi" w:hAnsiTheme="minorHAnsi" w:cstheme="minorHAnsi"/>
          <w:color w:val="000000" w:themeColor="text1"/>
        </w:rPr>
      </w:pPr>
      <w:r w:rsidRPr="00EE16E0">
        <w:rPr>
          <w:rFonts w:asciiTheme="minorHAnsi" w:hAnsiTheme="minorHAnsi" w:cstheme="minorHAnsi"/>
          <w:color w:val="000000" w:themeColor="text1"/>
        </w:rPr>
        <w:t>Станом на</w:t>
      </w:r>
      <w:r w:rsidR="00B61C3C" w:rsidRPr="00EE16E0">
        <w:rPr>
          <w:rFonts w:asciiTheme="minorHAnsi" w:hAnsiTheme="minorHAnsi" w:cstheme="minorHAnsi"/>
          <w:color w:val="000000" w:themeColor="text1"/>
        </w:rPr>
        <w:t xml:space="preserve"> 31.12.20</w:t>
      </w:r>
      <w:r w:rsidR="00ED3FE2">
        <w:rPr>
          <w:rFonts w:asciiTheme="minorHAnsi" w:hAnsiTheme="minorHAnsi" w:cstheme="minorHAnsi"/>
          <w:color w:val="000000" w:themeColor="text1"/>
        </w:rPr>
        <w:t>20</w:t>
      </w:r>
      <w:r w:rsidR="00B61C3C" w:rsidRPr="00EE16E0">
        <w:rPr>
          <w:rFonts w:asciiTheme="minorHAnsi" w:hAnsiTheme="minorHAnsi" w:cstheme="minorHAnsi"/>
          <w:color w:val="000000" w:themeColor="text1"/>
        </w:rPr>
        <w:t xml:space="preserve"> та 31.12.20</w:t>
      </w:r>
      <w:r w:rsidR="00ED3FE2">
        <w:rPr>
          <w:rFonts w:asciiTheme="minorHAnsi" w:hAnsiTheme="minorHAnsi" w:cstheme="minorHAnsi"/>
          <w:color w:val="000000" w:themeColor="text1"/>
        </w:rPr>
        <w:t>19</w:t>
      </w:r>
      <w:r w:rsidRPr="00EE16E0">
        <w:rPr>
          <w:rFonts w:asciiTheme="minorHAnsi" w:hAnsiTheme="minorHAnsi" w:cstheme="minorHAnsi"/>
          <w:color w:val="000000" w:themeColor="text1"/>
        </w:rPr>
        <w:t xml:space="preserve"> основні засоби Компанії відображені за фактичними витратами, що були понесені для їхнього придбання. Рух за групами основни</w:t>
      </w:r>
      <w:r w:rsidR="00EE59F5" w:rsidRPr="00EE16E0">
        <w:rPr>
          <w:rFonts w:asciiTheme="minorHAnsi" w:hAnsiTheme="minorHAnsi" w:cstheme="minorHAnsi"/>
          <w:color w:val="000000" w:themeColor="text1"/>
        </w:rPr>
        <w:t>х засобів відображено в таблиці </w:t>
      </w:r>
      <w:r w:rsidR="009B763A" w:rsidRPr="00EE16E0">
        <w:rPr>
          <w:rFonts w:asciiTheme="minorHAnsi" w:hAnsiTheme="minorHAnsi" w:cstheme="minorHAnsi"/>
          <w:color w:val="000000" w:themeColor="text1"/>
        </w:rPr>
        <w:t>10</w:t>
      </w:r>
      <w:r w:rsidRPr="00EE16E0">
        <w:rPr>
          <w:rFonts w:asciiTheme="minorHAnsi" w:hAnsiTheme="minorHAnsi" w:cstheme="minorHAnsi"/>
          <w:color w:val="000000" w:themeColor="text1"/>
        </w:rPr>
        <w:t>.2. Витрати, понесені для підтримання об’єктів в робочому стані, включались до складу витрат. Амортизація основних засобів нараховувалась із застосуванням прямолінійного методу.</w:t>
      </w:r>
    </w:p>
    <w:p w14:paraId="2033266B" w14:textId="77777777" w:rsidR="00D7008C" w:rsidRPr="00EC5C18" w:rsidRDefault="00D7008C" w:rsidP="00F35172">
      <w:pPr>
        <w:pStyle w:val="af7"/>
        <w:rPr>
          <w:rFonts w:asciiTheme="minorHAnsi" w:hAnsiTheme="minorHAnsi" w:cstheme="minorHAnsi"/>
          <w:color w:val="000000" w:themeColor="text1"/>
        </w:rPr>
      </w:pPr>
      <w:r w:rsidRPr="00EC5C18">
        <w:rPr>
          <w:rFonts w:asciiTheme="minorHAnsi" w:hAnsiTheme="minorHAnsi" w:cstheme="minorHAnsi"/>
          <w:color w:val="000000" w:themeColor="text1"/>
        </w:rPr>
        <w:t>Протягом звітного періоду змін в оцінках термінів експлуатації, ліквідаційної вартості, а також зміни методів амортизації основних засобів Компанії не було.</w:t>
      </w:r>
    </w:p>
    <w:p w14:paraId="65559895" w14:textId="77777777" w:rsidR="00D7008C" w:rsidRPr="003825A1" w:rsidRDefault="00D7008C" w:rsidP="00F35172">
      <w:pPr>
        <w:pStyle w:val="af7"/>
        <w:rPr>
          <w:rFonts w:asciiTheme="minorHAnsi" w:hAnsiTheme="minorHAnsi" w:cstheme="minorHAnsi"/>
          <w:color w:val="000000" w:themeColor="text1"/>
        </w:rPr>
      </w:pPr>
      <w:r w:rsidRPr="00EC5C18">
        <w:rPr>
          <w:rFonts w:asciiTheme="minorHAnsi" w:hAnsiTheme="minorHAnsi" w:cstheme="minorHAnsi"/>
          <w:color w:val="000000" w:themeColor="text1"/>
        </w:rPr>
        <w:t xml:space="preserve">Надходження основних засобів протягом звітного періоду здійснювалося шляхом придбання нових об’єктів основних засобів за грошові кошти та шляхом створення основних засобів власними </w:t>
      </w:r>
      <w:r w:rsidRPr="003825A1">
        <w:rPr>
          <w:rFonts w:asciiTheme="minorHAnsi" w:hAnsiTheme="minorHAnsi" w:cstheme="minorHAnsi"/>
          <w:color w:val="000000" w:themeColor="text1"/>
        </w:rPr>
        <w:t>силами.</w:t>
      </w:r>
    </w:p>
    <w:p w14:paraId="1FCB716F" w14:textId="0FB0C6F8" w:rsidR="00D7008C" w:rsidRPr="003825A1" w:rsidRDefault="008410AE" w:rsidP="00F35172">
      <w:pPr>
        <w:pStyle w:val="af7"/>
        <w:rPr>
          <w:rFonts w:asciiTheme="minorHAnsi" w:hAnsiTheme="minorHAnsi" w:cstheme="minorHAnsi"/>
          <w:color w:val="000000" w:themeColor="text1"/>
        </w:rPr>
      </w:pPr>
      <w:r w:rsidRPr="003825A1">
        <w:rPr>
          <w:rFonts w:asciiTheme="minorHAnsi" w:hAnsiTheme="minorHAnsi" w:cstheme="minorHAnsi"/>
          <w:color w:val="000000" w:themeColor="text1"/>
        </w:rPr>
        <w:t>Станом на 31.12.20</w:t>
      </w:r>
      <w:r w:rsidR="00ED3FE2" w:rsidRPr="003825A1">
        <w:rPr>
          <w:rFonts w:asciiTheme="minorHAnsi" w:hAnsiTheme="minorHAnsi" w:cstheme="minorHAnsi"/>
          <w:color w:val="000000" w:themeColor="text1"/>
        </w:rPr>
        <w:t>20</w:t>
      </w:r>
      <w:r w:rsidR="00D7008C" w:rsidRPr="003825A1">
        <w:rPr>
          <w:rFonts w:asciiTheme="minorHAnsi" w:hAnsiTheme="minorHAnsi" w:cstheme="minorHAnsi"/>
          <w:color w:val="000000" w:themeColor="text1"/>
        </w:rPr>
        <w:t xml:space="preserve"> існують обмеження прав власності Компанії на основні засоби: чиста балансова вартість основних засобів, що передані у заставу, складає </w:t>
      </w:r>
      <w:r w:rsidR="003825A1" w:rsidRPr="003825A1">
        <w:rPr>
          <w:rFonts w:asciiTheme="minorHAnsi" w:hAnsiTheme="minorHAnsi" w:cstheme="minorHAnsi"/>
          <w:color w:val="000000" w:themeColor="text1"/>
          <w:lang w:val="ru-RU"/>
        </w:rPr>
        <w:t xml:space="preserve">137 423 </w:t>
      </w:r>
      <w:r w:rsidRPr="003825A1">
        <w:rPr>
          <w:rFonts w:asciiTheme="minorHAnsi" w:hAnsiTheme="minorHAnsi" w:cstheme="minorHAnsi"/>
          <w:color w:val="000000" w:themeColor="text1"/>
        </w:rPr>
        <w:t xml:space="preserve">тис. </w:t>
      </w:r>
      <w:r w:rsidR="00623B7B" w:rsidRPr="003825A1">
        <w:rPr>
          <w:rFonts w:asciiTheme="minorHAnsi" w:hAnsiTheme="minorHAnsi" w:cstheme="minorHAnsi"/>
          <w:color w:val="000000" w:themeColor="text1"/>
        </w:rPr>
        <w:t>грн</w:t>
      </w:r>
      <w:r w:rsidRPr="003825A1">
        <w:rPr>
          <w:rFonts w:asciiTheme="minorHAnsi" w:hAnsiTheme="minorHAnsi" w:cstheme="minorHAnsi"/>
          <w:color w:val="000000" w:themeColor="text1"/>
        </w:rPr>
        <w:t xml:space="preserve"> (станом на 31.12.201</w:t>
      </w:r>
      <w:r w:rsidR="00ED3FE2" w:rsidRPr="003825A1">
        <w:rPr>
          <w:rFonts w:asciiTheme="minorHAnsi" w:hAnsiTheme="minorHAnsi" w:cstheme="minorHAnsi"/>
          <w:color w:val="000000" w:themeColor="text1"/>
          <w:lang w:val="ru-RU"/>
        </w:rPr>
        <w:t>9</w:t>
      </w:r>
      <w:r w:rsidR="00D7008C" w:rsidRPr="003825A1">
        <w:rPr>
          <w:rFonts w:asciiTheme="minorHAnsi" w:hAnsiTheme="minorHAnsi" w:cstheme="minorHAnsi"/>
          <w:color w:val="000000" w:themeColor="text1"/>
        </w:rPr>
        <w:t xml:space="preserve"> –</w:t>
      </w:r>
      <w:r w:rsidR="0092118D" w:rsidRPr="003825A1">
        <w:rPr>
          <w:rFonts w:asciiTheme="minorHAnsi" w:hAnsiTheme="minorHAnsi" w:cstheme="minorHAnsi"/>
          <w:color w:val="000000" w:themeColor="text1"/>
          <w:lang w:val="ru-RU"/>
        </w:rPr>
        <w:t xml:space="preserve"> </w:t>
      </w:r>
      <w:r w:rsidR="00EC5C18" w:rsidRPr="003825A1">
        <w:rPr>
          <w:rFonts w:asciiTheme="minorHAnsi" w:hAnsiTheme="minorHAnsi" w:cstheme="minorHAnsi"/>
          <w:color w:val="000000" w:themeColor="text1"/>
          <w:lang w:val="ru-RU"/>
        </w:rPr>
        <w:t>1</w:t>
      </w:r>
      <w:r w:rsidR="00ED3FE2" w:rsidRPr="003825A1">
        <w:rPr>
          <w:rFonts w:asciiTheme="minorHAnsi" w:hAnsiTheme="minorHAnsi" w:cstheme="minorHAnsi"/>
          <w:color w:val="000000" w:themeColor="text1"/>
          <w:lang w:val="ru-RU"/>
        </w:rPr>
        <w:t>42</w:t>
      </w:r>
      <w:r w:rsidR="004D6D3F" w:rsidRPr="003825A1">
        <w:rPr>
          <w:rFonts w:asciiTheme="minorHAnsi" w:hAnsiTheme="minorHAnsi" w:cstheme="minorHAnsi"/>
          <w:color w:val="000000" w:themeColor="text1"/>
          <w:lang w:val="en-US"/>
        </w:rPr>
        <w:t> </w:t>
      </w:r>
      <w:r w:rsidR="00ED3FE2" w:rsidRPr="003825A1">
        <w:rPr>
          <w:rFonts w:asciiTheme="minorHAnsi" w:hAnsiTheme="minorHAnsi" w:cstheme="minorHAnsi"/>
          <w:color w:val="000000" w:themeColor="text1"/>
        </w:rPr>
        <w:t>862</w:t>
      </w:r>
      <w:r w:rsidR="00D7008C" w:rsidRPr="003825A1">
        <w:rPr>
          <w:rFonts w:asciiTheme="minorHAnsi" w:hAnsiTheme="minorHAnsi" w:cstheme="minorHAnsi"/>
          <w:color w:val="000000" w:themeColor="text1"/>
        </w:rPr>
        <w:t xml:space="preserve"> тис. </w:t>
      </w:r>
      <w:r w:rsidR="00623B7B" w:rsidRPr="003825A1">
        <w:rPr>
          <w:rFonts w:asciiTheme="minorHAnsi" w:hAnsiTheme="minorHAnsi" w:cstheme="minorHAnsi"/>
          <w:color w:val="000000" w:themeColor="text1"/>
        </w:rPr>
        <w:t>грн</w:t>
      </w:r>
      <w:r w:rsidR="009246DC" w:rsidRPr="003825A1">
        <w:rPr>
          <w:rFonts w:asciiTheme="minorHAnsi" w:hAnsiTheme="minorHAnsi" w:cstheme="minorHAnsi"/>
          <w:color w:val="000000" w:themeColor="text1"/>
        </w:rPr>
        <w:t>)</w:t>
      </w:r>
      <w:r w:rsidR="00EC5C18" w:rsidRPr="003825A1">
        <w:rPr>
          <w:rFonts w:asciiTheme="minorHAnsi" w:hAnsiTheme="minorHAnsi" w:cstheme="minorHAnsi"/>
          <w:color w:val="000000" w:themeColor="text1"/>
        </w:rPr>
        <w:t>.</w:t>
      </w:r>
    </w:p>
    <w:p w14:paraId="4AECFDDD" w14:textId="02B065E7" w:rsidR="00D7008C" w:rsidRPr="00EC5C18" w:rsidRDefault="008410AE" w:rsidP="00591313">
      <w:pPr>
        <w:pStyle w:val="af7"/>
        <w:rPr>
          <w:rFonts w:asciiTheme="minorHAnsi" w:hAnsiTheme="minorHAnsi" w:cstheme="minorHAnsi"/>
          <w:b/>
          <w:color w:val="000000" w:themeColor="text1"/>
        </w:rPr>
      </w:pPr>
      <w:r w:rsidRPr="003825A1">
        <w:rPr>
          <w:rFonts w:asciiTheme="minorHAnsi" w:hAnsiTheme="minorHAnsi" w:cstheme="minorHAnsi"/>
          <w:color w:val="000000" w:themeColor="text1"/>
        </w:rPr>
        <w:t>Станом на 31.12.20</w:t>
      </w:r>
      <w:r w:rsidR="001D45CA" w:rsidRPr="003825A1">
        <w:rPr>
          <w:rFonts w:asciiTheme="minorHAnsi" w:hAnsiTheme="minorHAnsi" w:cstheme="minorHAnsi"/>
          <w:color w:val="000000" w:themeColor="text1"/>
        </w:rPr>
        <w:t>20</w:t>
      </w:r>
      <w:r w:rsidR="00D7008C" w:rsidRPr="003825A1">
        <w:rPr>
          <w:rFonts w:asciiTheme="minorHAnsi" w:hAnsiTheme="minorHAnsi" w:cstheme="minorHAnsi"/>
          <w:color w:val="000000" w:themeColor="text1"/>
        </w:rPr>
        <w:t xml:space="preserve"> Компанія не має договірних зобов’язань щодо придбання основних засобів.</w:t>
      </w:r>
    </w:p>
    <w:p w14:paraId="1C17ECEB" w14:textId="77777777" w:rsidR="009B763A" w:rsidRPr="00A22CC4" w:rsidRDefault="009B763A" w:rsidP="00D7008C">
      <w:pPr>
        <w:rPr>
          <w:rFonts w:asciiTheme="minorHAnsi" w:hAnsiTheme="minorHAnsi" w:cstheme="minorHAnsi"/>
          <w:b/>
          <w:color w:val="FF0000"/>
        </w:rPr>
        <w:sectPr w:rsidR="009B763A" w:rsidRPr="00A22CC4" w:rsidSect="004A7ED7">
          <w:headerReference w:type="even" r:id="rId10"/>
          <w:headerReference w:type="default" r:id="rId11"/>
          <w:footerReference w:type="default" r:id="rId12"/>
          <w:headerReference w:type="first" r:id="rId13"/>
          <w:pgSz w:w="11906" w:h="16838" w:code="9"/>
          <w:pgMar w:top="1134" w:right="851" w:bottom="1134" w:left="1418" w:header="567" w:footer="567" w:gutter="0"/>
          <w:pgNumType w:start="22"/>
          <w:cols w:space="708"/>
          <w:docGrid w:linePitch="360"/>
        </w:sectPr>
      </w:pPr>
    </w:p>
    <w:p w14:paraId="00D3E879" w14:textId="77777777" w:rsidR="00020305" w:rsidRPr="00C36C6B" w:rsidRDefault="00920BA5" w:rsidP="004220AB">
      <w:pPr>
        <w:spacing w:before="120" w:after="120"/>
        <w:jc w:val="left"/>
        <w:rPr>
          <w:rFonts w:asciiTheme="minorHAnsi" w:hAnsiTheme="minorHAnsi" w:cstheme="minorHAnsi"/>
          <w:b/>
          <w:i/>
          <w:color w:val="000000" w:themeColor="text1"/>
          <w:szCs w:val="20"/>
        </w:rPr>
      </w:pPr>
      <w:r w:rsidRPr="00C36C6B">
        <w:rPr>
          <w:rFonts w:asciiTheme="minorHAnsi" w:hAnsiTheme="minorHAnsi" w:cstheme="minorHAnsi"/>
          <w:b/>
          <w:i/>
          <w:color w:val="000000" w:themeColor="text1"/>
          <w:szCs w:val="20"/>
        </w:rPr>
        <w:lastRenderedPageBreak/>
        <w:t>Рух за групами основних засобів:</w:t>
      </w:r>
    </w:p>
    <w:tbl>
      <w:tblPr>
        <w:tblW w:w="4962" w:type="pct"/>
        <w:tblLayout w:type="fixed"/>
        <w:tblLook w:val="00A0" w:firstRow="1" w:lastRow="0" w:firstColumn="1" w:lastColumn="0" w:noHBand="0" w:noVBand="0"/>
      </w:tblPr>
      <w:tblGrid>
        <w:gridCol w:w="3119"/>
        <w:gridCol w:w="2270"/>
        <w:gridCol w:w="1700"/>
        <w:gridCol w:w="1559"/>
        <w:gridCol w:w="1559"/>
        <w:gridCol w:w="2267"/>
        <w:gridCol w:w="850"/>
        <w:gridCol w:w="1134"/>
      </w:tblGrid>
      <w:tr w:rsidR="006C51F1" w:rsidRPr="00C36C6B" w14:paraId="01A6C516" w14:textId="77777777" w:rsidTr="004220AB">
        <w:trPr>
          <w:cantSplit/>
          <w:trHeight w:val="20"/>
          <w:tblHeader/>
        </w:trPr>
        <w:tc>
          <w:tcPr>
            <w:tcW w:w="1079" w:type="pct"/>
            <w:tcBorders>
              <w:left w:val="nil"/>
              <w:bottom w:val="single" w:sz="4" w:space="0" w:color="auto"/>
              <w:right w:val="nil"/>
            </w:tcBorders>
            <w:shd w:val="clear" w:color="auto" w:fill="FFFFFF" w:themeFill="background1"/>
            <w:vAlign w:val="center"/>
          </w:tcPr>
          <w:p w14:paraId="5C8A0D9F" w14:textId="591C798D" w:rsidR="00EC5C18" w:rsidRPr="00C36C6B" w:rsidRDefault="00EC5C18" w:rsidP="004220AB">
            <w:pPr>
              <w:jc w:val="lef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10.2 Рух основних засобів за групами</w:t>
            </w:r>
          </w:p>
        </w:tc>
        <w:tc>
          <w:tcPr>
            <w:tcW w:w="785" w:type="pct"/>
            <w:tcBorders>
              <w:left w:val="nil"/>
              <w:bottom w:val="single" w:sz="4" w:space="0" w:color="auto"/>
              <w:right w:val="nil"/>
            </w:tcBorders>
            <w:shd w:val="clear" w:color="auto" w:fill="FFFFFF" w:themeFill="background1"/>
            <w:vAlign w:val="center"/>
          </w:tcPr>
          <w:p w14:paraId="37397849"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Об'єкти незавер-шеного будівництва</w:t>
            </w:r>
          </w:p>
        </w:tc>
        <w:tc>
          <w:tcPr>
            <w:tcW w:w="588" w:type="pct"/>
            <w:tcBorders>
              <w:left w:val="nil"/>
              <w:bottom w:val="single" w:sz="4" w:space="0" w:color="auto"/>
              <w:right w:val="nil"/>
            </w:tcBorders>
            <w:shd w:val="clear" w:color="auto" w:fill="FFFFFF" w:themeFill="background1"/>
            <w:vAlign w:val="center"/>
          </w:tcPr>
          <w:p w14:paraId="4C2D3832"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Будинки та споруди</w:t>
            </w:r>
          </w:p>
        </w:tc>
        <w:tc>
          <w:tcPr>
            <w:tcW w:w="539" w:type="pct"/>
            <w:tcBorders>
              <w:left w:val="nil"/>
              <w:bottom w:val="single" w:sz="4" w:space="0" w:color="auto"/>
              <w:right w:val="nil"/>
            </w:tcBorders>
            <w:shd w:val="clear" w:color="auto" w:fill="FFFFFF" w:themeFill="background1"/>
            <w:vAlign w:val="center"/>
          </w:tcPr>
          <w:p w14:paraId="7DD1C5BB"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Машини та обладнання</w:t>
            </w:r>
          </w:p>
        </w:tc>
        <w:tc>
          <w:tcPr>
            <w:tcW w:w="539" w:type="pct"/>
            <w:tcBorders>
              <w:left w:val="nil"/>
              <w:bottom w:val="single" w:sz="4" w:space="0" w:color="auto"/>
              <w:right w:val="nil"/>
            </w:tcBorders>
            <w:shd w:val="clear" w:color="auto" w:fill="FFFFFF" w:themeFill="background1"/>
            <w:vAlign w:val="center"/>
          </w:tcPr>
          <w:p w14:paraId="739B8287"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Транспортні засоби</w:t>
            </w:r>
          </w:p>
        </w:tc>
        <w:tc>
          <w:tcPr>
            <w:tcW w:w="784" w:type="pct"/>
            <w:tcBorders>
              <w:left w:val="nil"/>
              <w:bottom w:val="single" w:sz="4" w:space="0" w:color="auto"/>
              <w:right w:val="nil"/>
            </w:tcBorders>
            <w:shd w:val="clear" w:color="auto" w:fill="FFFFFF" w:themeFill="background1"/>
            <w:vAlign w:val="center"/>
          </w:tcPr>
          <w:p w14:paraId="2FEB6EF4"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Інструменти, прилади та інвентар</w:t>
            </w:r>
          </w:p>
        </w:tc>
        <w:tc>
          <w:tcPr>
            <w:tcW w:w="294" w:type="pct"/>
            <w:tcBorders>
              <w:left w:val="nil"/>
              <w:bottom w:val="single" w:sz="4" w:space="0" w:color="auto"/>
              <w:right w:val="nil"/>
            </w:tcBorders>
            <w:shd w:val="clear" w:color="auto" w:fill="FFFFFF" w:themeFill="background1"/>
            <w:vAlign w:val="center"/>
          </w:tcPr>
          <w:p w14:paraId="512C3F65"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Інші</w:t>
            </w:r>
          </w:p>
        </w:tc>
        <w:tc>
          <w:tcPr>
            <w:tcW w:w="392" w:type="pct"/>
            <w:tcBorders>
              <w:left w:val="nil"/>
              <w:bottom w:val="single" w:sz="4" w:space="0" w:color="auto"/>
              <w:right w:val="nil"/>
            </w:tcBorders>
            <w:shd w:val="clear" w:color="auto" w:fill="FFFFFF" w:themeFill="background1"/>
            <w:vAlign w:val="center"/>
          </w:tcPr>
          <w:p w14:paraId="2988D6D7" w14:textId="77777777" w:rsidR="00EC5C18" w:rsidRPr="00C36C6B" w:rsidRDefault="00EC5C18" w:rsidP="004220AB">
            <w:pPr>
              <w:jc w:val="right"/>
              <w:rPr>
                <w:rFonts w:asciiTheme="minorHAnsi" w:hAnsiTheme="minorHAnsi" w:cstheme="minorHAnsi"/>
                <w:b/>
                <w:bCs/>
                <w:color w:val="000000" w:themeColor="text1"/>
                <w:szCs w:val="20"/>
              </w:rPr>
            </w:pPr>
            <w:r w:rsidRPr="00C36C6B">
              <w:rPr>
                <w:rFonts w:asciiTheme="minorHAnsi" w:hAnsiTheme="minorHAnsi" w:cstheme="minorHAnsi"/>
                <w:b/>
                <w:bCs/>
                <w:color w:val="000000" w:themeColor="text1"/>
                <w:szCs w:val="20"/>
              </w:rPr>
              <w:t>Всього</w:t>
            </w:r>
          </w:p>
        </w:tc>
      </w:tr>
      <w:tr w:rsidR="00C36C6B" w:rsidRPr="00C36C6B" w14:paraId="2477990C" w14:textId="77777777" w:rsidTr="002C7E46">
        <w:trPr>
          <w:cantSplit/>
          <w:trHeight w:val="20"/>
          <w:tblHeader/>
        </w:trPr>
        <w:tc>
          <w:tcPr>
            <w:tcW w:w="5000" w:type="pct"/>
            <w:gridSpan w:val="8"/>
            <w:tcBorders>
              <w:top w:val="single" w:sz="4" w:space="0" w:color="auto"/>
              <w:left w:val="nil"/>
              <w:bottom w:val="single" w:sz="4" w:space="0" w:color="auto"/>
              <w:right w:val="nil"/>
            </w:tcBorders>
            <w:shd w:val="clear" w:color="auto" w:fill="auto"/>
            <w:vAlign w:val="bottom"/>
          </w:tcPr>
          <w:p w14:paraId="27CDFD35" w14:textId="553FD56B" w:rsidR="00C36C6B" w:rsidRPr="00C36C6B" w:rsidRDefault="00C36C6B" w:rsidP="00C36C6B">
            <w:pPr>
              <w:jc w:val="lef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Станом на 31.12.2018</w:t>
            </w:r>
          </w:p>
        </w:tc>
      </w:tr>
      <w:tr w:rsidR="00C36C6B" w:rsidRPr="00C36C6B" w14:paraId="6367C3E2" w14:textId="77777777" w:rsidTr="002C7E46">
        <w:trPr>
          <w:trHeight w:val="20"/>
        </w:trPr>
        <w:tc>
          <w:tcPr>
            <w:tcW w:w="1079" w:type="pct"/>
            <w:tcBorders>
              <w:top w:val="nil"/>
              <w:left w:val="nil"/>
              <w:bottom w:val="nil"/>
              <w:right w:val="nil"/>
            </w:tcBorders>
            <w:shd w:val="clear" w:color="auto" w:fill="auto"/>
            <w:vAlign w:val="bottom"/>
          </w:tcPr>
          <w:p w14:paraId="0F20F978" w14:textId="3A493B01" w:rsidR="00C36C6B" w:rsidRPr="00C36C6B" w:rsidRDefault="00C36C6B" w:rsidP="00C36C6B">
            <w:pPr>
              <w:jc w:val="left"/>
              <w:rPr>
                <w:rFonts w:asciiTheme="minorHAnsi" w:hAnsiTheme="minorHAnsi" w:cstheme="minorHAnsi"/>
                <w:color w:val="000000" w:themeColor="text1"/>
                <w:szCs w:val="20"/>
                <w:highlight w:val="yellow"/>
              </w:rPr>
            </w:pPr>
            <w:r w:rsidRPr="00C36C6B">
              <w:rPr>
                <w:rFonts w:asciiTheme="minorHAnsi" w:hAnsiTheme="minorHAnsi" w:cstheme="minorHAnsi"/>
                <w:szCs w:val="20"/>
              </w:rPr>
              <w:t>Первісна вартість</w:t>
            </w:r>
          </w:p>
        </w:tc>
        <w:tc>
          <w:tcPr>
            <w:tcW w:w="785" w:type="pct"/>
            <w:tcBorders>
              <w:top w:val="nil"/>
              <w:left w:val="nil"/>
              <w:bottom w:val="nil"/>
              <w:right w:val="nil"/>
            </w:tcBorders>
            <w:shd w:val="clear" w:color="auto" w:fill="auto"/>
            <w:vAlign w:val="center"/>
          </w:tcPr>
          <w:p w14:paraId="7F0F20D8" w14:textId="3349AD2E"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15 278 </w:t>
            </w:r>
          </w:p>
        </w:tc>
        <w:tc>
          <w:tcPr>
            <w:tcW w:w="588" w:type="pct"/>
            <w:tcBorders>
              <w:top w:val="nil"/>
              <w:left w:val="nil"/>
              <w:bottom w:val="nil"/>
              <w:right w:val="nil"/>
            </w:tcBorders>
            <w:shd w:val="clear" w:color="auto" w:fill="auto"/>
            <w:vAlign w:val="center"/>
          </w:tcPr>
          <w:p w14:paraId="03F35FC9" w14:textId="19B5492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154 028 </w:t>
            </w:r>
          </w:p>
        </w:tc>
        <w:tc>
          <w:tcPr>
            <w:tcW w:w="539" w:type="pct"/>
            <w:tcBorders>
              <w:top w:val="nil"/>
              <w:left w:val="nil"/>
              <w:bottom w:val="nil"/>
              <w:right w:val="nil"/>
            </w:tcBorders>
            <w:shd w:val="clear" w:color="auto" w:fill="auto"/>
            <w:vAlign w:val="center"/>
          </w:tcPr>
          <w:p w14:paraId="2AAE671B" w14:textId="60803E9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190 838 </w:t>
            </w:r>
          </w:p>
        </w:tc>
        <w:tc>
          <w:tcPr>
            <w:tcW w:w="539" w:type="pct"/>
            <w:tcBorders>
              <w:top w:val="nil"/>
              <w:left w:val="nil"/>
              <w:bottom w:val="nil"/>
              <w:right w:val="nil"/>
            </w:tcBorders>
            <w:shd w:val="clear" w:color="auto" w:fill="auto"/>
            <w:vAlign w:val="center"/>
          </w:tcPr>
          <w:p w14:paraId="7FB65368" w14:textId="52E1A948"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10 393 </w:t>
            </w:r>
          </w:p>
        </w:tc>
        <w:tc>
          <w:tcPr>
            <w:tcW w:w="784" w:type="pct"/>
            <w:tcBorders>
              <w:top w:val="nil"/>
              <w:left w:val="nil"/>
              <w:bottom w:val="nil"/>
              <w:right w:val="nil"/>
            </w:tcBorders>
            <w:shd w:val="clear" w:color="auto" w:fill="auto"/>
            <w:vAlign w:val="center"/>
          </w:tcPr>
          <w:p w14:paraId="10AAC138" w14:textId="383E9833"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17 179 </w:t>
            </w:r>
          </w:p>
        </w:tc>
        <w:tc>
          <w:tcPr>
            <w:tcW w:w="294" w:type="pct"/>
            <w:tcBorders>
              <w:top w:val="nil"/>
              <w:left w:val="nil"/>
              <w:bottom w:val="nil"/>
              <w:right w:val="nil"/>
            </w:tcBorders>
            <w:shd w:val="clear" w:color="auto" w:fill="auto"/>
            <w:vAlign w:val="center"/>
          </w:tcPr>
          <w:p w14:paraId="3BF8C97E" w14:textId="40FA8436"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576 </w:t>
            </w:r>
          </w:p>
        </w:tc>
        <w:tc>
          <w:tcPr>
            <w:tcW w:w="392" w:type="pct"/>
            <w:tcBorders>
              <w:top w:val="nil"/>
              <w:left w:val="nil"/>
              <w:bottom w:val="nil"/>
              <w:right w:val="nil"/>
            </w:tcBorders>
            <w:shd w:val="clear" w:color="auto" w:fill="auto"/>
            <w:vAlign w:val="center"/>
          </w:tcPr>
          <w:p w14:paraId="5256B4ED" w14:textId="02FB9BCA"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388 292 </w:t>
            </w:r>
          </w:p>
        </w:tc>
      </w:tr>
      <w:tr w:rsidR="00C36C6B" w:rsidRPr="00C36C6B" w14:paraId="7C206D49" w14:textId="77777777" w:rsidTr="002C7E46">
        <w:trPr>
          <w:trHeight w:val="20"/>
        </w:trPr>
        <w:tc>
          <w:tcPr>
            <w:tcW w:w="1079" w:type="pct"/>
            <w:tcBorders>
              <w:top w:val="nil"/>
              <w:left w:val="nil"/>
              <w:bottom w:val="nil"/>
              <w:right w:val="nil"/>
            </w:tcBorders>
            <w:shd w:val="clear" w:color="auto" w:fill="auto"/>
            <w:vAlign w:val="bottom"/>
          </w:tcPr>
          <w:p w14:paraId="1ED2A280" w14:textId="19C36705" w:rsidR="00C36C6B" w:rsidRPr="00C36C6B" w:rsidRDefault="00C36C6B" w:rsidP="00C36C6B">
            <w:pPr>
              <w:jc w:val="left"/>
              <w:rPr>
                <w:rFonts w:asciiTheme="minorHAnsi" w:hAnsiTheme="minorHAnsi" w:cstheme="minorHAnsi"/>
                <w:color w:val="000000" w:themeColor="text1"/>
                <w:szCs w:val="20"/>
                <w:highlight w:val="yellow"/>
              </w:rPr>
            </w:pPr>
            <w:r w:rsidRPr="00C36C6B">
              <w:rPr>
                <w:rFonts w:asciiTheme="minorHAnsi" w:hAnsiTheme="minorHAnsi" w:cstheme="minorHAnsi"/>
                <w:szCs w:val="20"/>
              </w:rPr>
              <w:t>Накопичена амортизація</w:t>
            </w:r>
          </w:p>
        </w:tc>
        <w:tc>
          <w:tcPr>
            <w:tcW w:w="785" w:type="pct"/>
            <w:tcBorders>
              <w:top w:val="nil"/>
              <w:left w:val="nil"/>
              <w:bottom w:val="nil"/>
              <w:right w:val="nil"/>
            </w:tcBorders>
            <w:shd w:val="clear" w:color="auto" w:fill="auto"/>
            <w:vAlign w:val="center"/>
          </w:tcPr>
          <w:p w14:paraId="11B0C379" w14:textId="46498483"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center"/>
          </w:tcPr>
          <w:p w14:paraId="6967133A" w14:textId="37C93E1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(37 608)</w:t>
            </w:r>
          </w:p>
        </w:tc>
        <w:tc>
          <w:tcPr>
            <w:tcW w:w="539" w:type="pct"/>
            <w:tcBorders>
              <w:top w:val="nil"/>
              <w:left w:val="nil"/>
              <w:bottom w:val="nil"/>
              <w:right w:val="nil"/>
            </w:tcBorders>
            <w:shd w:val="clear" w:color="auto" w:fill="auto"/>
            <w:vAlign w:val="center"/>
          </w:tcPr>
          <w:p w14:paraId="32598BC3" w14:textId="2810EA8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(102 277)</w:t>
            </w:r>
          </w:p>
        </w:tc>
        <w:tc>
          <w:tcPr>
            <w:tcW w:w="539" w:type="pct"/>
            <w:tcBorders>
              <w:top w:val="nil"/>
              <w:left w:val="nil"/>
              <w:bottom w:val="nil"/>
              <w:right w:val="nil"/>
            </w:tcBorders>
            <w:shd w:val="clear" w:color="auto" w:fill="auto"/>
            <w:vAlign w:val="center"/>
          </w:tcPr>
          <w:p w14:paraId="30537CB3" w14:textId="59314F2C"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(2 309)</w:t>
            </w:r>
          </w:p>
        </w:tc>
        <w:tc>
          <w:tcPr>
            <w:tcW w:w="784" w:type="pct"/>
            <w:tcBorders>
              <w:top w:val="nil"/>
              <w:left w:val="nil"/>
              <w:bottom w:val="nil"/>
              <w:right w:val="nil"/>
            </w:tcBorders>
            <w:shd w:val="clear" w:color="auto" w:fill="auto"/>
            <w:vAlign w:val="center"/>
          </w:tcPr>
          <w:p w14:paraId="0DE3B619" w14:textId="345740F6"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(12 169)</w:t>
            </w:r>
          </w:p>
        </w:tc>
        <w:tc>
          <w:tcPr>
            <w:tcW w:w="294" w:type="pct"/>
            <w:tcBorders>
              <w:top w:val="nil"/>
              <w:left w:val="nil"/>
              <w:bottom w:val="nil"/>
              <w:right w:val="nil"/>
            </w:tcBorders>
            <w:shd w:val="clear" w:color="auto" w:fill="auto"/>
            <w:vAlign w:val="center"/>
          </w:tcPr>
          <w:p w14:paraId="30914B3A" w14:textId="212EF0F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(85)</w:t>
            </w:r>
          </w:p>
        </w:tc>
        <w:tc>
          <w:tcPr>
            <w:tcW w:w="392" w:type="pct"/>
            <w:tcBorders>
              <w:top w:val="nil"/>
              <w:left w:val="nil"/>
              <w:bottom w:val="nil"/>
              <w:right w:val="nil"/>
            </w:tcBorders>
            <w:shd w:val="clear" w:color="auto" w:fill="auto"/>
            <w:vAlign w:val="center"/>
          </w:tcPr>
          <w:p w14:paraId="50FFB06F" w14:textId="51C0CBE9"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(154 448)</w:t>
            </w:r>
          </w:p>
        </w:tc>
      </w:tr>
      <w:tr w:rsidR="00C36C6B" w:rsidRPr="00C36C6B" w14:paraId="37D376D5" w14:textId="77777777" w:rsidTr="002C7E46">
        <w:trPr>
          <w:trHeight w:val="20"/>
        </w:trPr>
        <w:tc>
          <w:tcPr>
            <w:tcW w:w="1079" w:type="pct"/>
            <w:tcBorders>
              <w:top w:val="nil"/>
              <w:left w:val="nil"/>
              <w:bottom w:val="single" w:sz="4" w:space="0" w:color="auto"/>
              <w:right w:val="nil"/>
            </w:tcBorders>
            <w:shd w:val="clear" w:color="auto" w:fill="auto"/>
            <w:vAlign w:val="bottom"/>
          </w:tcPr>
          <w:p w14:paraId="030D76FE" w14:textId="106ADFB8" w:rsidR="00C36C6B" w:rsidRPr="00C36C6B" w:rsidRDefault="00C36C6B" w:rsidP="00C36C6B">
            <w:pPr>
              <w:jc w:val="lef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Чиста балансова вартість</w:t>
            </w:r>
          </w:p>
        </w:tc>
        <w:tc>
          <w:tcPr>
            <w:tcW w:w="785" w:type="pct"/>
            <w:tcBorders>
              <w:top w:val="nil"/>
              <w:left w:val="nil"/>
              <w:bottom w:val="single" w:sz="4" w:space="0" w:color="auto"/>
              <w:right w:val="nil"/>
            </w:tcBorders>
            <w:shd w:val="clear" w:color="auto" w:fill="auto"/>
            <w:vAlign w:val="center"/>
          </w:tcPr>
          <w:p w14:paraId="369AB049" w14:textId="1F121BCF"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15 278 </w:t>
            </w:r>
          </w:p>
        </w:tc>
        <w:tc>
          <w:tcPr>
            <w:tcW w:w="588" w:type="pct"/>
            <w:tcBorders>
              <w:top w:val="nil"/>
              <w:left w:val="nil"/>
              <w:bottom w:val="single" w:sz="4" w:space="0" w:color="auto"/>
              <w:right w:val="nil"/>
            </w:tcBorders>
            <w:shd w:val="clear" w:color="auto" w:fill="auto"/>
            <w:vAlign w:val="center"/>
          </w:tcPr>
          <w:p w14:paraId="5E44A26A" w14:textId="6036C13E"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116 420 </w:t>
            </w:r>
          </w:p>
        </w:tc>
        <w:tc>
          <w:tcPr>
            <w:tcW w:w="539" w:type="pct"/>
            <w:tcBorders>
              <w:top w:val="nil"/>
              <w:left w:val="nil"/>
              <w:bottom w:val="single" w:sz="4" w:space="0" w:color="auto"/>
              <w:right w:val="nil"/>
            </w:tcBorders>
            <w:shd w:val="clear" w:color="auto" w:fill="auto"/>
            <w:vAlign w:val="center"/>
          </w:tcPr>
          <w:p w14:paraId="0A17A3FD" w14:textId="329F16F5"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88 561 </w:t>
            </w:r>
          </w:p>
        </w:tc>
        <w:tc>
          <w:tcPr>
            <w:tcW w:w="539" w:type="pct"/>
            <w:tcBorders>
              <w:top w:val="nil"/>
              <w:left w:val="nil"/>
              <w:bottom w:val="single" w:sz="4" w:space="0" w:color="auto"/>
              <w:right w:val="nil"/>
            </w:tcBorders>
            <w:shd w:val="clear" w:color="auto" w:fill="auto"/>
            <w:vAlign w:val="center"/>
          </w:tcPr>
          <w:p w14:paraId="47FACE77" w14:textId="7250562D"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8 084 </w:t>
            </w:r>
          </w:p>
        </w:tc>
        <w:tc>
          <w:tcPr>
            <w:tcW w:w="784" w:type="pct"/>
            <w:tcBorders>
              <w:top w:val="nil"/>
              <w:left w:val="nil"/>
              <w:bottom w:val="single" w:sz="4" w:space="0" w:color="auto"/>
              <w:right w:val="nil"/>
            </w:tcBorders>
            <w:shd w:val="clear" w:color="auto" w:fill="auto"/>
            <w:vAlign w:val="center"/>
          </w:tcPr>
          <w:p w14:paraId="7BCF95DA" w14:textId="1619ECC1"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5 010 </w:t>
            </w:r>
          </w:p>
        </w:tc>
        <w:tc>
          <w:tcPr>
            <w:tcW w:w="294" w:type="pct"/>
            <w:tcBorders>
              <w:top w:val="nil"/>
              <w:left w:val="nil"/>
              <w:bottom w:val="single" w:sz="4" w:space="0" w:color="auto"/>
              <w:right w:val="nil"/>
            </w:tcBorders>
            <w:shd w:val="clear" w:color="auto" w:fill="auto"/>
            <w:vAlign w:val="center"/>
          </w:tcPr>
          <w:p w14:paraId="610CF9AA" w14:textId="3994D477"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491 </w:t>
            </w:r>
          </w:p>
        </w:tc>
        <w:tc>
          <w:tcPr>
            <w:tcW w:w="392" w:type="pct"/>
            <w:tcBorders>
              <w:top w:val="nil"/>
              <w:left w:val="nil"/>
              <w:bottom w:val="single" w:sz="4" w:space="0" w:color="auto"/>
              <w:right w:val="nil"/>
            </w:tcBorders>
            <w:shd w:val="clear" w:color="auto" w:fill="auto"/>
            <w:vAlign w:val="center"/>
          </w:tcPr>
          <w:p w14:paraId="49D2D21D" w14:textId="465C81E6"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233 844 </w:t>
            </w:r>
          </w:p>
        </w:tc>
      </w:tr>
      <w:tr w:rsidR="00C36C6B" w:rsidRPr="00C36C6B" w14:paraId="74CD8C27" w14:textId="77777777" w:rsidTr="002C7E46">
        <w:trPr>
          <w:trHeight w:val="20"/>
        </w:trPr>
        <w:tc>
          <w:tcPr>
            <w:tcW w:w="1079" w:type="pct"/>
            <w:tcBorders>
              <w:top w:val="nil"/>
              <w:left w:val="nil"/>
              <w:bottom w:val="nil"/>
              <w:right w:val="nil"/>
            </w:tcBorders>
            <w:shd w:val="clear" w:color="auto" w:fill="auto"/>
            <w:vAlign w:val="bottom"/>
          </w:tcPr>
          <w:p w14:paraId="46828A1E" w14:textId="77777777" w:rsidR="00C36C6B" w:rsidRPr="00C36C6B" w:rsidRDefault="00C36C6B" w:rsidP="00C36C6B">
            <w:pPr>
              <w:jc w:val="left"/>
              <w:rPr>
                <w:rFonts w:asciiTheme="minorHAnsi" w:hAnsiTheme="minorHAnsi" w:cstheme="minorHAnsi"/>
                <w:bCs/>
                <w:color w:val="000000" w:themeColor="text1"/>
                <w:szCs w:val="20"/>
                <w:highlight w:val="yellow"/>
              </w:rPr>
            </w:pPr>
          </w:p>
        </w:tc>
        <w:tc>
          <w:tcPr>
            <w:tcW w:w="785" w:type="pct"/>
            <w:tcBorders>
              <w:top w:val="nil"/>
              <w:left w:val="nil"/>
              <w:bottom w:val="nil"/>
              <w:right w:val="nil"/>
            </w:tcBorders>
            <w:shd w:val="clear" w:color="auto" w:fill="auto"/>
            <w:vAlign w:val="center"/>
          </w:tcPr>
          <w:p w14:paraId="18F97858" w14:textId="77777777" w:rsidR="00C36C6B" w:rsidRPr="00C36C6B" w:rsidRDefault="00C36C6B" w:rsidP="00C36C6B">
            <w:pPr>
              <w:jc w:val="right"/>
              <w:rPr>
                <w:rFonts w:asciiTheme="minorHAnsi" w:hAnsiTheme="minorHAnsi" w:cstheme="minorHAnsi"/>
                <w:color w:val="000000" w:themeColor="text1"/>
                <w:szCs w:val="20"/>
                <w:highlight w:val="yellow"/>
              </w:rPr>
            </w:pPr>
          </w:p>
        </w:tc>
        <w:tc>
          <w:tcPr>
            <w:tcW w:w="588" w:type="pct"/>
            <w:tcBorders>
              <w:top w:val="nil"/>
              <w:left w:val="nil"/>
              <w:bottom w:val="nil"/>
              <w:right w:val="nil"/>
            </w:tcBorders>
            <w:shd w:val="clear" w:color="auto" w:fill="auto"/>
            <w:vAlign w:val="center"/>
          </w:tcPr>
          <w:p w14:paraId="1C8937C5" w14:textId="77777777" w:rsidR="00C36C6B" w:rsidRPr="00C36C6B" w:rsidRDefault="00C36C6B" w:rsidP="00C36C6B">
            <w:pPr>
              <w:jc w:val="right"/>
              <w:rPr>
                <w:rFonts w:asciiTheme="minorHAnsi" w:hAnsiTheme="minorHAnsi" w:cstheme="minorHAnsi"/>
                <w:color w:val="000000" w:themeColor="text1"/>
                <w:szCs w:val="20"/>
                <w:highlight w:val="yellow"/>
              </w:rPr>
            </w:pPr>
          </w:p>
        </w:tc>
        <w:tc>
          <w:tcPr>
            <w:tcW w:w="539" w:type="pct"/>
            <w:tcBorders>
              <w:top w:val="nil"/>
              <w:left w:val="nil"/>
              <w:bottom w:val="nil"/>
              <w:right w:val="nil"/>
            </w:tcBorders>
            <w:shd w:val="clear" w:color="auto" w:fill="auto"/>
            <w:vAlign w:val="center"/>
          </w:tcPr>
          <w:p w14:paraId="572D42CD" w14:textId="77777777" w:rsidR="00C36C6B" w:rsidRPr="00C36C6B" w:rsidRDefault="00C36C6B" w:rsidP="00C36C6B">
            <w:pPr>
              <w:jc w:val="right"/>
              <w:rPr>
                <w:rFonts w:asciiTheme="minorHAnsi" w:hAnsiTheme="minorHAnsi" w:cstheme="minorHAnsi"/>
                <w:color w:val="000000" w:themeColor="text1"/>
                <w:szCs w:val="20"/>
                <w:highlight w:val="yellow"/>
              </w:rPr>
            </w:pPr>
          </w:p>
        </w:tc>
        <w:tc>
          <w:tcPr>
            <w:tcW w:w="539" w:type="pct"/>
            <w:tcBorders>
              <w:top w:val="nil"/>
              <w:left w:val="nil"/>
              <w:bottom w:val="nil"/>
              <w:right w:val="nil"/>
            </w:tcBorders>
            <w:shd w:val="clear" w:color="auto" w:fill="auto"/>
            <w:vAlign w:val="center"/>
          </w:tcPr>
          <w:p w14:paraId="7E68A230" w14:textId="77777777" w:rsidR="00C36C6B" w:rsidRPr="00C36C6B" w:rsidRDefault="00C36C6B" w:rsidP="00C36C6B">
            <w:pPr>
              <w:jc w:val="right"/>
              <w:rPr>
                <w:rFonts w:asciiTheme="minorHAnsi" w:hAnsiTheme="minorHAnsi" w:cstheme="minorHAnsi"/>
                <w:color w:val="000000" w:themeColor="text1"/>
                <w:szCs w:val="20"/>
                <w:highlight w:val="yellow"/>
              </w:rPr>
            </w:pPr>
          </w:p>
        </w:tc>
        <w:tc>
          <w:tcPr>
            <w:tcW w:w="784" w:type="pct"/>
            <w:tcBorders>
              <w:top w:val="nil"/>
              <w:left w:val="nil"/>
              <w:bottom w:val="nil"/>
              <w:right w:val="nil"/>
            </w:tcBorders>
            <w:shd w:val="clear" w:color="auto" w:fill="auto"/>
            <w:vAlign w:val="center"/>
          </w:tcPr>
          <w:p w14:paraId="0F2304F9" w14:textId="77777777" w:rsidR="00C36C6B" w:rsidRPr="00C36C6B" w:rsidRDefault="00C36C6B" w:rsidP="00C36C6B">
            <w:pPr>
              <w:jc w:val="right"/>
              <w:rPr>
                <w:rFonts w:asciiTheme="minorHAnsi" w:hAnsiTheme="minorHAnsi" w:cstheme="minorHAnsi"/>
                <w:color w:val="000000" w:themeColor="text1"/>
                <w:szCs w:val="20"/>
                <w:highlight w:val="yellow"/>
              </w:rPr>
            </w:pPr>
          </w:p>
        </w:tc>
        <w:tc>
          <w:tcPr>
            <w:tcW w:w="294" w:type="pct"/>
            <w:tcBorders>
              <w:top w:val="nil"/>
              <w:left w:val="nil"/>
              <w:bottom w:val="nil"/>
              <w:right w:val="nil"/>
            </w:tcBorders>
            <w:shd w:val="clear" w:color="auto" w:fill="auto"/>
            <w:vAlign w:val="center"/>
          </w:tcPr>
          <w:p w14:paraId="24D7B41D" w14:textId="77777777" w:rsidR="00C36C6B" w:rsidRPr="00C36C6B" w:rsidRDefault="00C36C6B" w:rsidP="00C36C6B">
            <w:pPr>
              <w:jc w:val="right"/>
              <w:rPr>
                <w:rFonts w:asciiTheme="minorHAnsi" w:hAnsiTheme="minorHAnsi" w:cstheme="minorHAnsi"/>
                <w:color w:val="000000" w:themeColor="text1"/>
                <w:szCs w:val="20"/>
                <w:highlight w:val="yellow"/>
              </w:rPr>
            </w:pPr>
          </w:p>
        </w:tc>
        <w:tc>
          <w:tcPr>
            <w:tcW w:w="392" w:type="pct"/>
            <w:tcBorders>
              <w:top w:val="nil"/>
              <w:left w:val="nil"/>
              <w:bottom w:val="nil"/>
              <w:right w:val="nil"/>
            </w:tcBorders>
            <w:shd w:val="clear" w:color="auto" w:fill="auto"/>
            <w:vAlign w:val="center"/>
          </w:tcPr>
          <w:p w14:paraId="0225878B" w14:textId="77777777" w:rsidR="00C36C6B" w:rsidRPr="00C36C6B" w:rsidRDefault="00C36C6B" w:rsidP="00C36C6B">
            <w:pPr>
              <w:jc w:val="right"/>
              <w:rPr>
                <w:rFonts w:asciiTheme="minorHAnsi" w:hAnsiTheme="minorHAnsi" w:cstheme="minorHAnsi"/>
                <w:color w:val="000000" w:themeColor="text1"/>
                <w:szCs w:val="20"/>
                <w:highlight w:val="yellow"/>
              </w:rPr>
            </w:pPr>
          </w:p>
        </w:tc>
      </w:tr>
      <w:tr w:rsidR="00C36C6B" w:rsidRPr="00C36C6B" w14:paraId="2EDF8A6C" w14:textId="77777777" w:rsidTr="002C7E46">
        <w:trPr>
          <w:trHeight w:val="20"/>
        </w:trPr>
        <w:tc>
          <w:tcPr>
            <w:tcW w:w="1079" w:type="pct"/>
            <w:tcBorders>
              <w:top w:val="nil"/>
              <w:left w:val="nil"/>
              <w:bottom w:val="nil"/>
              <w:right w:val="nil"/>
            </w:tcBorders>
            <w:shd w:val="clear" w:color="auto" w:fill="auto"/>
            <w:vAlign w:val="bottom"/>
          </w:tcPr>
          <w:p w14:paraId="0C8697E7" w14:textId="4BA6598D"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Надходження</w:t>
            </w:r>
          </w:p>
        </w:tc>
        <w:tc>
          <w:tcPr>
            <w:tcW w:w="785" w:type="pct"/>
            <w:tcBorders>
              <w:top w:val="nil"/>
              <w:left w:val="nil"/>
              <w:bottom w:val="nil"/>
              <w:right w:val="nil"/>
            </w:tcBorders>
            <w:shd w:val="clear" w:color="auto" w:fill="auto"/>
            <w:vAlign w:val="center"/>
          </w:tcPr>
          <w:p w14:paraId="227E3A55" w14:textId="1E1CC5E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56 690 </w:t>
            </w:r>
          </w:p>
        </w:tc>
        <w:tc>
          <w:tcPr>
            <w:tcW w:w="588" w:type="pct"/>
            <w:tcBorders>
              <w:top w:val="nil"/>
              <w:left w:val="nil"/>
              <w:bottom w:val="nil"/>
              <w:right w:val="nil"/>
            </w:tcBorders>
            <w:shd w:val="clear" w:color="auto" w:fill="auto"/>
            <w:vAlign w:val="bottom"/>
          </w:tcPr>
          <w:p w14:paraId="492FE8D6" w14:textId="105D0E59"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bottom"/>
          </w:tcPr>
          <w:p w14:paraId="4E044749" w14:textId="526AF6B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159 </w:t>
            </w:r>
          </w:p>
        </w:tc>
        <w:tc>
          <w:tcPr>
            <w:tcW w:w="539" w:type="pct"/>
            <w:tcBorders>
              <w:top w:val="nil"/>
              <w:left w:val="nil"/>
              <w:bottom w:val="nil"/>
              <w:right w:val="nil"/>
            </w:tcBorders>
            <w:shd w:val="clear" w:color="auto" w:fill="auto"/>
            <w:vAlign w:val="bottom"/>
          </w:tcPr>
          <w:p w14:paraId="152FAACA" w14:textId="0CA5C9CD"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bottom"/>
          </w:tcPr>
          <w:p w14:paraId="60B7D71B" w14:textId="347A823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17 </w:t>
            </w:r>
          </w:p>
        </w:tc>
        <w:tc>
          <w:tcPr>
            <w:tcW w:w="294" w:type="pct"/>
            <w:tcBorders>
              <w:top w:val="nil"/>
              <w:left w:val="nil"/>
              <w:bottom w:val="nil"/>
              <w:right w:val="nil"/>
            </w:tcBorders>
            <w:shd w:val="clear" w:color="auto" w:fill="auto"/>
            <w:vAlign w:val="bottom"/>
          </w:tcPr>
          <w:p w14:paraId="06E0A064" w14:textId="17976579"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392" w:type="pct"/>
            <w:tcBorders>
              <w:top w:val="nil"/>
              <w:left w:val="nil"/>
              <w:bottom w:val="nil"/>
              <w:right w:val="nil"/>
            </w:tcBorders>
            <w:shd w:val="clear" w:color="auto" w:fill="auto"/>
            <w:vAlign w:val="center"/>
          </w:tcPr>
          <w:p w14:paraId="7275DE56" w14:textId="31CB0610"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56 866 </w:t>
            </w:r>
          </w:p>
        </w:tc>
      </w:tr>
      <w:tr w:rsidR="00C36C6B" w:rsidRPr="00C36C6B" w14:paraId="02B8EA7A" w14:textId="77777777" w:rsidTr="002C7E46">
        <w:trPr>
          <w:trHeight w:val="20"/>
        </w:trPr>
        <w:tc>
          <w:tcPr>
            <w:tcW w:w="1079" w:type="pct"/>
            <w:tcBorders>
              <w:top w:val="nil"/>
              <w:left w:val="nil"/>
              <w:bottom w:val="nil"/>
              <w:right w:val="nil"/>
            </w:tcBorders>
            <w:shd w:val="clear" w:color="auto" w:fill="auto"/>
            <w:vAlign w:val="bottom"/>
          </w:tcPr>
          <w:p w14:paraId="50CE0A67" w14:textId="27A33F91"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Надходження амортизації</w:t>
            </w:r>
          </w:p>
        </w:tc>
        <w:tc>
          <w:tcPr>
            <w:tcW w:w="785" w:type="pct"/>
            <w:tcBorders>
              <w:top w:val="nil"/>
              <w:left w:val="nil"/>
              <w:bottom w:val="nil"/>
              <w:right w:val="nil"/>
            </w:tcBorders>
            <w:shd w:val="clear" w:color="auto" w:fill="auto"/>
            <w:vAlign w:val="center"/>
          </w:tcPr>
          <w:p w14:paraId="0B7201F7" w14:textId="3D38618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center"/>
          </w:tcPr>
          <w:p w14:paraId="428B5291" w14:textId="1B7D5CE7"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center"/>
          </w:tcPr>
          <w:p w14:paraId="75EB5153" w14:textId="4C576790"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center"/>
          </w:tcPr>
          <w:p w14:paraId="5F9BD662" w14:textId="654E2AEC"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center"/>
          </w:tcPr>
          <w:p w14:paraId="787C69E8" w14:textId="3BC13097"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294" w:type="pct"/>
            <w:tcBorders>
              <w:top w:val="nil"/>
              <w:left w:val="nil"/>
              <w:bottom w:val="nil"/>
              <w:right w:val="nil"/>
            </w:tcBorders>
            <w:shd w:val="clear" w:color="auto" w:fill="auto"/>
            <w:vAlign w:val="center"/>
          </w:tcPr>
          <w:p w14:paraId="58FC5773" w14:textId="135FF8B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392" w:type="pct"/>
            <w:tcBorders>
              <w:top w:val="nil"/>
              <w:left w:val="nil"/>
              <w:bottom w:val="nil"/>
              <w:right w:val="nil"/>
            </w:tcBorders>
            <w:shd w:val="clear" w:color="auto" w:fill="auto"/>
            <w:vAlign w:val="center"/>
          </w:tcPr>
          <w:p w14:paraId="63B3C5D2" w14:textId="7D02E910"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  </w:t>
            </w:r>
          </w:p>
        </w:tc>
      </w:tr>
      <w:tr w:rsidR="00C36C6B" w:rsidRPr="00C36C6B" w14:paraId="56D9A172" w14:textId="77777777" w:rsidTr="002C7E46">
        <w:trPr>
          <w:trHeight w:val="20"/>
        </w:trPr>
        <w:tc>
          <w:tcPr>
            <w:tcW w:w="1079" w:type="pct"/>
            <w:tcBorders>
              <w:top w:val="nil"/>
              <w:left w:val="nil"/>
              <w:bottom w:val="nil"/>
              <w:right w:val="nil"/>
            </w:tcBorders>
            <w:shd w:val="clear" w:color="auto" w:fill="auto"/>
            <w:vAlign w:val="bottom"/>
          </w:tcPr>
          <w:p w14:paraId="0B07EDFD" w14:textId="5E481C7D"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Переведення з однієї категорії в іншу</w:t>
            </w:r>
          </w:p>
        </w:tc>
        <w:tc>
          <w:tcPr>
            <w:tcW w:w="785" w:type="pct"/>
            <w:tcBorders>
              <w:top w:val="nil"/>
              <w:left w:val="nil"/>
              <w:bottom w:val="nil"/>
              <w:right w:val="nil"/>
            </w:tcBorders>
            <w:shd w:val="clear" w:color="auto" w:fill="auto"/>
            <w:vAlign w:val="center"/>
          </w:tcPr>
          <w:p w14:paraId="4A41C812" w14:textId="517B11E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(64 098)</w:t>
            </w:r>
          </w:p>
        </w:tc>
        <w:tc>
          <w:tcPr>
            <w:tcW w:w="588" w:type="pct"/>
            <w:tcBorders>
              <w:top w:val="nil"/>
              <w:left w:val="nil"/>
              <w:bottom w:val="nil"/>
              <w:right w:val="nil"/>
            </w:tcBorders>
            <w:shd w:val="clear" w:color="auto" w:fill="auto"/>
            <w:vAlign w:val="center"/>
          </w:tcPr>
          <w:p w14:paraId="564C9216" w14:textId="381DF35D"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36 541 </w:t>
            </w:r>
          </w:p>
        </w:tc>
        <w:tc>
          <w:tcPr>
            <w:tcW w:w="539" w:type="pct"/>
            <w:tcBorders>
              <w:top w:val="nil"/>
              <w:left w:val="nil"/>
              <w:bottom w:val="nil"/>
              <w:right w:val="nil"/>
            </w:tcBorders>
            <w:shd w:val="clear" w:color="auto" w:fill="auto"/>
            <w:vAlign w:val="center"/>
          </w:tcPr>
          <w:p w14:paraId="528D2EA2" w14:textId="6519AD6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20 946 </w:t>
            </w:r>
          </w:p>
        </w:tc>
        <w:tc>
          <w:tcPr>
            <w:tcW w:w="539" w:type="pct"/>
            <w:tcBorders>
              <w:top w:val="nil"/>
              <w:left w:val="nil"/>
              <w:bottom w:val="nil"/>
              <w:right w:val="nil"/>
            </w:tcBorders>
            <w:shd w:val="clear" w:color="auto" w:fill="auto"/>
            <w:vAlign w:val="center"/>
          </w:tcPr>
          <w:p w14:paraId="0D42D220" w14:textId="76CBB2E3"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1 473 </w:t>
            </w:r>
          </w:p>
        </w:tc>
        <w:tc>
          <w:tcPr>
            <w:tcW w:w="784" w:type="pct"/>
            <w:tcBorders>
              <w:top w:val="nil"/>
              <w:left w:val="nil"/>
              <w:bottom w:val="nil"/>
              <w:right w:val="nil"/>
            </w:tcBorders>
            <w:shd w:val="clear" w:color="auto" w:fill="auto"/>
            <w:vAlign w:val="center"/>
          </w:tcPr>
          <w:p w14:paraId="5783BDDC" w14:textId="6B9BEE5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5 138 </w:t>
            </w:r>
          </w:p>
        </w:tc>
        <w:tc>
          <w:tcPr>
            <w:tcW w:w="294" w:type="pct"/>
            <w:tcBorders>
              <w:top w:val="nil"/>
              <w:left w:val="nil"/>
              <w:bottom w:val="nil"/>
              <w:right w:val="nil"/>
            </w:tcBorders>
            <w:shd w:val="clear" w:color="auto" w:fill="auto"/>
            <w:vAlign w:val="center"/>
          </w:tcPr>
          <w:p w14:paraId="46E998B0" w14:textId="70FADCA3"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392" w:type="pct"/>
            <w:tcBorders>
              <w:top w:val="nil"/>
              <w:left w:val="nil"/>
              <w:bottom w:val="nil"/>
              <w:right w:val="nil"/>
            </w:tcBorders>
            <w:shd w:val="clear" w:color="auto" w:fill="auto"/>
            <w:vAlign w:val="center"/>
          </w:tcPr>
          <w:p w14:paraId="0A937AC6" w14:textId="0F49BD75"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(0)</w:t>
            </w:r>
          </w:p>
        </w:tc>
      </w:tr>
      <w:tr w:rsidR="00C36C6B" w:rsidRPr="00C36C6B" w14:paraId="1625471E" w14:textId="77777777" w:rsidTr="002C7E46">
        <w:trPr>
          <w:trHeight w:val="20"/>
        </w:trPr>
        <w:tc>
          <w:tcPr>
            <w:tcW w:w="1079" w:type="pct"/>
            <w:tcBorders>
              <w:top w:val="nil"/>
              <w:left w:val="nil"/>
              <w:bottom w:val="nil"/>
              <w:right w:val="nil"/>
            </w:tcBorders>
            <w:shd w:val="clear" w:color="auto" w:fill="auto"/>
            <w:vAlign w:val="bottom"/>
          </w:tcPr>
          <w:p w14:paraId="76136FFF" w14:textId="67135AB5"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Вибуття</w:t>
            </w:r>
          </w:p>
        </w:tc>
        <w:tc>
          <w:tcPr>
            <w:tcW w:w="785" w:type="pct"/>
            <w:tcBorders>
              <w:top w:val="nil"/>
              <w:left w:val="nil"/>
              <w:bottom w:val="nil"/>
              <w:right w:val="nil"/>
            </w:tcBorders>
            <w:shd w:val="clear" w:color="auto" w:fill="auto"/>
            <w:vAlign w:val="center"/>
          </w:tcPr>
          <w:p w14:paraId="62BC84D1" w14:textId="46878947"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(529)</w:t>
            </w:r>
          </w:p>
        </w:tc>
        <w:tc>
          <w:tcPr>
            <w:tcW w:w="588" w:type="pct"/>
            <w:tcBorders>
              <w:top w:val="nil"/>
              <w:left w:val="nil"/>
              <w:bottom w:val="nil"/>
              <w:right w:val="nil"/>
            </w:tcBorders>
            <w:shd w:val="clear" w:color="auto" w:fill="auto"/>
            <w:vAlign w:val="center"/>
          </w:tcPr>
          <w:p w14:paraId="3B9BCB02" w14:textId="15F09C5B"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center"/>
          </w:tcPr>
          <w:p w14:paraId="62C7E75D" w14:textId="1E6D495B"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(389)</w:t>
            </w:r>
          </w:p>
        </w:tc>
        <w:tc>
          <w:tcPr>
            <w:tcW w:w="539" w:type="pct"/>
            <w:tcBorders>
              <w:top w:val="nil"/>
              <w:left w:val="nil"/>
              <w:bottom w:val="nil"/>
              <w:right w:val="nil"/>
            </w:tcBorders>
            <w:shd w:val="clear" w:color="auto" w:fill="auto"/>
            <w:vAlign w:val="center"/>
          </w:tcPr>
          <w:p w14:paraId="2A03BA3F" w14:textId="69AAC017"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center"/>
          </w:tcPr>
          <w:p w14:paraId="6C0CC618" w14:textId="24D04C8B"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(295)</w:t>
            </w:r>
          </w:p>
        </w:tc>
        <w:tc>
          <w:tcPr>
            <w:tcW w:w="294" w:type="pct"/>
            <w:tcBorders>
              <w:top w:val="nil"/>
              <w:left w:val="nil"/>
              <w:bottom w:val="nil"/>
              <w:right w:val="nil"/>
            </w:tcBorders>
            <w:shd w:val="clear" w:color="auto" w:fill="auto"/>
            <w:vAlign w:val="center"/>
          </w:tcPr>
          <w:p w14:paraId="649841EE" w14:textId="540659A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(2)</w:t>
            </w:r>
          </w:p>
        </w:tc>
        <w:tc>
          <w:tcPr>
            <w:tcW w:w="392" w:type="pct"/>
            <w:tcBorders>
              <w:top w:val="nil"/>
              <w:left w:val="nil"/>
              <w:bottom w:val="nil"/>
              <w:right w:val="nil"/>
            </w:tcBorders>
            <w:shd w:val="clear" w:color="auto" w:fill="auto"/>
            <w:vAlign w:val="center"/>
          </w:tcPr>
          <w:p w14:paraId="40263DFF" w14:textId="1DBB36A8"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(1 215)</w:t>
            </w:r>
          </w:p>
        </w:tc>
      </w:tr>
      <w:tr w:rsidR="00C36C6B" w:rsidRPr="00C36C6B" w14:paraId="3AE1DFBA" w14:textId="77777777" w:rsidTr="002C7E46">
        <w:trPr>
          <w:trHeight w:val="20"/>
        </w:trPr>
        <w:tc>
          <w:tcPr>
            <w:tcW w:w="1079" w:type="pct"/>
            <w:tcBorders>
              <w:top w:val="nil"/>
              <w:left w:val="nil"/>
              <w:bottom w:val="nil"/>
              <w:right w:val="nil"/>
            </w:tcBorders>
            <w:shd w:val="clear" w:color="auto" w:fill="auto"/>
            <w:vAlign w:val="bottom"/>
          </w:tcPr>
          <w:p w14:paraId="2F25F775" w14:textId="6FFE12E5"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Вибуття амортизації</w:t>
            </w:r>
          </w:p>
        </w:tc>
        <w:tc>
          <w:tcPr>
            <w:tcW w:w="785" w:type="pct"/>
            <w:tcBorders>
              <w:top w:val="nil"/>
              <w:left w:val="nil"/>
              <w:bottom w:val="nil"/>
              <w:right w:val="nil"/>
            </w:tcBorders>
            <w:shd w:val="clear" w:color="auto" w:fill="auto"/>
            <w:vAlign w:val="center"/>
          </w:tcPr>
          <w:p w14:paraId="5E9307C3" w14:textId="71074436"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center"/>
          </w:tcPr>
          <w:p w14:paraId="41716E75" w14:textId="6A1700C9"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center"/>
          </w:tcPr>
          <w:p w14:paraId="37A753EC" w14:textId="229D369A"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277 </w:t>
            </w:r>
          </w:p>
        </w:tc>
        <w:tc>
          <w:tcPr>
            <w:tcW w:w="539" w:type="pct"/>
            <w:tcBorders>
              <w:top w:val="nil"/>
              <w:left w:val="nil"/>
              <w:bottom w:val="nil"/>
              <w:right w:val="nil"/>
            </w:tcBorders>
            <w:shd w:val="clear" w:color="auto" w:fill="auto"/>
            <w:vAlign w:val="center"/>
          </w:tcPr>
          <w:p w14:paraId="294B6146" w14:textId="53E1992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center"/>
          </w:tcPr>
          <w:p w14:paraId="4BDF7A6B" w14:textId="2AA11FBA"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295 </w:t>
            </w:r>
          </w:p>
        </w:tc>
        <w:tc>
          <w:tcPr>
            <w:tcW w:w="294" w:type="pct"/>
            <w:tcBorders>
              <w:top w:val="nil"/>
              <w:left w:val="nil"/>
              <w:bottom w:val="nil"/>
              <w:right w:val="nil"/>
            </w:tcBorders>
            <w:shd w:val="clear" w:color="auto" w:fill="auto"/>
            <w:vAlign w:val="center"/>
          </w:tcPr>
          <w:p w14:paraId="546D33C5" w14:textId="0DEDE5EB"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0 </w:t>
            </w:r>
          </w:p>
        </w:tc>
        <w:tc>
          <w:tcPr>
            <w:tcW w:w="392" w:type="pct"/>
            <w:tcBorders>
              <w:top w:val="nil"/>
              <w:left w:val="nil"/>
              <w:bottom w:val="nil"/>
              <w:right w:val="nil"/>
            </w:tcBorders>
            <w:shd w:val="clear" w:color="auto" w:fill="auto"/>
            <w:vAlign w:val="center"/>
          </w:tcPr>
          <w:p w14:paraId="7C67F2FD" w14:textId="1A23135B"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5</w:t>
            </w:r>
            <w:r w:rsidR="003C06B8">
              <w:rPr>
                <w:rFonts w:asciiTheme="minorHAnsi" w:hAnsiTheme="minorHAnsi" w:cstheme="minorHAnsi"/>
                <w:b/>
                <w:bCs/>
                <w:szCs w:val="20"/>
              </w:rPr>
              <w:t>72</w:t>
            </w:r>
            <w:r w:rsidRPr="00C36C6B">
              <w:rPr>
                <w:rFonts w:asciiTheme="minorHAnsi" w:hAnsiTheme="minorHAnsi" w:cstheme="minorHAnsi"/>
                <w:b/>
                <w:bCs/>
                <w:szCs w:val="20"/>
              </w:rPr>
              <w:t xml:space="preserve"> </w:t>
            </w:r>
          </w:p>
        </w:tc>
      </w:tr>
      <w:tr w:rsidR="00C36C6B" w:rsidRPr="00C36C6B" w14:paraId="3A5280BB" w14:textId="77777777" w:rsidTr="002C7E46">
        <w:trPr>
          <w:trHeight w:val="20"/>
        </w:trPr>
        <w:tc>
          <w:tcPr>
            <w:tcW w:w="1079" w:type="pct"/>
            <w:tcBorders>
              <w:top w:val="nil"/>
              <w:left w:val="nil"/>
              <w:bottom w:val="nil"/>
              <w:right w:val="nil"/>
            </w:tcBorders>
            <w:shd w:val="clear" w:color="auto" w:fill="auto"/>
            <w:vAlign w:val="bottom"/>
          </w:tcPr>
          <w:p w14:paraId="0650BA51" w14:textId="14C25B4B"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Амортизаційні відрахування</w:t>
            </w:r>
          </w:p>
        </w:tc>
        <w:tc>
          <w:tcPr>
            <w:tcW w:w="785" w:type="pct"/>
            <w:tcBorders>
              <w:top w:val="nil"/>
              <w:left w:val="nil"/>
              <w:bottom w:val="nil"/>
              <w:right w:val="nil"/>
            </w:tcBorders>
            <w:shd w:val="clear" w:color="auto" w:fill="auto"/>
            <w:vAlign w:val="center"/>
          </w:tcPr>
          <w:p w14:paraId="62085D70" w14:textId="311A98AC"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center"/>
          </w:tcPr>
          <w:p w14:paraId="63252BF9" w14:textId="4862E33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(7 065)</w:t>
            </w:r>
          </w:p>
        </w:tc>
        <w:tc>
          <w:tcPr>
            <w:tcW w:w="539" w:type="pct"/>
            <w:tcBorders>
              <w:top w:val="nil"/>
              <w:left w:val="nil"/>
              <w:bottom w:val="nil"/>
              <w:right w:val="nil"/>
            </w:tcBorders>
            <w:shd w:val="clear" w:color="auto" w:fill="auto"/>
            <w:vAlign w:val="center"/>
          </w:tcPr>
          <w:p w14:paraId="2414D117" w14:textId="3E120C56"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(15 071)</w:t>
            </w:r>
          </w:p>
        </w:tc>
        <w:tc>
          <w:tcPr>
            <w:tcW w:w="539" w:type="pct"/>
            <w:tcBorders>
              <w:top w:val="nil"/>
              <w:left w:val="nil"/>
              <w:bottom w:val="nil"/>
              <w:right w:val="nil"/>
            </w:tcBorders>
            <w:shd w:val="clear" w:color="auto" w:fill="auto"/>
            <w:vAlign w:val="center"/>
          </w:tcPr>
          <w:p w14:paraId="4DA62CD5" w14:textId="488A8BC9"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(1 478)</w:t>
            </w:r>
          </w:p>
        </w:tc>
        <w:tc>
          <w:tcPr>
            <w:tcW w:w="784" w:type="pct"/>
            <w:tcBorders>
              <w:top w:val="nil"/>
              <w:left w:val="nil"/>
              <w:bottom w:val="nil"/>
              <w:right w:val="nil"/>
            </w:tcBorders>
            <w:shd w:val="clear" w:color="auto" w:fill="auto"/>
            <w:vAlign w:val="center"/>
          </w:tcPr>
          <w:p w14:paraId="7B12BA2C" w14:textId="4A7661D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(2 391)</w:t>
            </w:r>
          </w:p>
        </w:tc>
        <w:tc>
          <w:tcPr>
            <w:tcW w:w="294" w:type="pct"/>
            <w:tcBorders>
              <w:top w:val="nil"/>
              <w:left w:val="nil"/>
              <w:bottom w:val="nil"/>
              <w:right w:val="nil"/>
            </w:tcBorders>
            <w:shd w:val="clear" w:color="auto" w:fill="auto"/>
            <w:vAlign w:val="center"/>
          </w:tcPr>
          <w:p w14:paraId="1321B820" w14:textId="4B6DA51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(55)</w:t>
            </w:r>
          </w:p>
        </w:tc>
        <w:tc>
          <w:tcPr>
            <w:tcW w:w="392" w:type="pct"/>
            <w:tcBorders>
              <w:top w:val="nil"/>
              <w:left w:val="nil"/>
              <w:bottom w:val="nil"/>
              <w:right w:val="nil"/>
            </w:tcBorders>
            <w:shd w:val="clear" w:color="auto" w:fill="auto"/>
            <w:vAlign w:val="center"/>
          </w:tcPr>
          <w:p w14:paraId="0FA14EA3" w14:textId="079E6AD3"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(26 060)</w:t>
            </w:r>
          </w:p>
        </w:tc>
      </w:tr>
      <w:tr w:rsidR="00C36C6B" w:rsidRPr="00C36C6B" w14:paraId="7916479D" w14:textId="77777777" w:rsidTr="002C7E46">
        <w:trPr>
          <w:trHeight w:val="20"/>
        </w:trPr>
        <w:tc>
          <w:tcPr>
            <w:tcW w:w="1079" w:type="pct"/>
            <w:tcBorders>
              <w:top w:val="single" w:sz="4" w:space="0" w:color="auto"/>
              <w:left w:val="nil"/>
              <w:bottom w:val="single" w:sz="4" w:space="0" w:color="auto"/>
              <w:right w:val="nil"/>
            </w:tcBorders>
            <w:shd w:val="clear" w:color="auto" w:fill="auto"/>
            <w:vAlign w:val="bottom"/>
          </w:tcPr>
          <w:p w14:paraId="4058D03A" w14:textId="09C7261E" w:rsidR="00C36C6B" w:rsidRPr="00C36C6B" w:rsidRDefault="00C36C6B" w:rsidP="00C36C6B">
            <w:pPr>
              <w:jc w:val="lef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Станом на 31.12.2019</w:t>
            </w:r>
          </w:p>
        </w:tc>
        <w:tc>
          <w:tcPr>
            <w:tcW w:w="785" w:type="pct"/>
            <w:tcBorders>
              <w:top w:val="single" w:sz="4" w:space="0" w:color="auto"/>
              <w:left w:val="nil"/>
              <w:bottom w:val="single" w:sz="4" w:space="0" w:color="auto"/>
              <w:right w:val="nil"/>
            </w:tcBorders>
            <w:shd w:val="clear" w:color="auto" w:fill="auto"/>
            <w:vAlign w:val="center"/>
          </w:tcPr>
          <w:p w14:paraId="2A3927A6" w14:textId="0D144A5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w:t>
            </w:r>
          </w:p>
        </w:tc>
        <w:tc>
          <w:tcPr>
            <w:tcW w:w="588" w:type="pct"/>
            <w:tcBorders>
              <w:top w:val="single" w:sz="4" w:space="0" w:color="auto"/>
              <w:left w:val="nil"/>
              <w:bottom w:val="single" w:sz="4" w:space="0" w:color="auto"/>
              <w:right w:val="nil"/>
            </w:tcBorders>
            <w:shd w:val="clear" w:color="auto" w:fill="auto"/>
            <w:vAlign w:val="center"/>
          </w:tcPr>
          <w:p w14:paraId="0122043B" w14:textId="326AFD7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w:t>
            </w:r>
          </w:p>
        </w:tc>
        <w:tc>
          <w:tcPr>
            <w:tcW w:w="539" w:type="pct"/>
            <w:tcBorders>
              <w:top w:val="single" w:sz="4" w:space="0" w:color="auto"/>
              <w:left w:val="nil"/>
              <w:bottom w:val="single" w:sz="4" w:space="0" w:color="auto"/>
              <w:right w:val="nil"/>
            </w:tcBorders>
            <w:shd w:val="clear" w:color="auto" w:fill="auto"/>
            <w:vAlign w:val="center"/>
          </w:tcPr>
          <w:p w14:paraId="11090CB3" w14:textId="0367737E" w:rsidR="00C36C6B" w:rsidRPr="00C36C6B" w:rsidRDefault="00C36C6B" w:rsidP="00C36C6B">
            <w:pPr>
              <w:jc w:val="right"/>
              <w:rPr>
                <w:rFonts w:asciiTheme="minorHAnsi" w:hAnsiTheme="minorHAnsi" w:cstheme="minorHAnsi"/>
                <w:color w:val="000000" w:themeColor="text1"/>
                <w:szCs w:val="20"/>
                <w:highlight w:val="yellow"/>
                <w:lang w:val="ru-RU"/>
              </w:rPr>
            </w:pPr>
            <w:r w:rsidRPr="00C36C6B">
              <w:rPr>
                <w:rFonts w:asciiTheme="minorHAnsi" w:hAnsiTheme="minorHAnsi" w:cstheme="minorHAnsi"/>
                <w:szCs w:val="20"/>
              </w:rPr>
              <w:t> </w:t>
            </w:r>
          </w:p>
        </w:tc>
        <w:tc>
          <w:tcPr>
            <w:tcW w:w="539" w:type="pct"/>
            <w:tcBorders>
              <w:top w:val="single" w:sz="4" w:space="0" w:color="auto"/>
              <w:left w:val="nil"/>
              <w:bottom w:val="single" w:sz="4" w:space="0" w:color="auto"/>
              <w:right w:val="nil"/>
            </w:tcBorders>
            <w:shd w:val="clear" w:color="auto" w:fill="auto"/>
            <w:vAlign w:val="center"/>
          </w:tcPr>
          <w:p w14:paraId="2338EA86" w14:textId="7F0A3234" w:rsidR="00C36C6B" w:rsidRPr="00C36C6B" w:rsidRDefault="00C36C6B" w:rsidP="00C36C6B">
            <w:pPr>
              <w:jc w:val="right"/>
              <w:rPr>
                <w:rFonts w:asciiTheme="minorHAnsi" w:hAnsiTheme="minorHAnsi" w:cstheme="minorHAnsi"/>
                <w:color w:val="000000" w:themeColor="text1"/>
                <w:szCs w:val="20"/>
                <w:highlight w:val="yellow"/>
                <w:lang w:val="ru-RU"/>
              </w:rPr>
            </w:pPr>
            <w:r w:rsidRPr="00C36C6B">
              <w:rPr>
                <w:rFonts w:asciiTheme="minorHAnsi" w:hAnsiTheme="minorHAnsi" w:cstheme="minorHAnsi"/>
                <w:szCs w:val="20"/>
              </w:rPr>
              <w:t> </w:t>
            </w:r>
          </w:p>
        </w:tc>
        <w:tc>
          <w:tcPr>
            <w:tcW w:w="784" w:type="pct"/>
            <w:tcBorders>
              <w:top w:val="single" w:sz="4" w:space="0" w:color="auto"/>
              <w:left w:val="nil"/>
              <w:bottom w:val="single" w:sz="4" w:space="0" w:color="auto"/>
              <w:right w:val="nil"/>
            </w:tcBorders>
            <w:shd w:val="clear" w:color="auto" w:fill="auto"/>
            <w:vAlign w:val="center"/>
          </w:tcPr>
          <w:p w14:paraId="5989DE33" w14:textId="1A219D43"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w:t>
            </w:r>
          </w:p>
        </w:tc>
        <w:tc>
          <w:tcPr>
            <w:tcW w:w="294" w:type="pct"/>
            <w:tcBorders>
              <w:top w:val="single" w:sz="4" w:space="0" w:color="auto"/>
              <w:left w:val="nil"/>
              <w:bottom w:val="single" w:sz="4" w:space="0" w:color="auto"/>
              <w:right w:val="nil"/>
            </w:tcBorders>
            <w:shd w:val="clear" w:color="auto" w:fill="auto"/>
            <w:vAlign w:val="center"/>
          </w:tcPr>
          <w:p w14:paraId="33AF73FF" w14:textId="4B2EAD1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w:t>
            </w:r>
          </w:p>
        </w:tc>
        <w:tc>
          <w:tcPr>
            <w:tcW w:w="392" w:type="pct"/>
            <w:tcBorders>
              <w:top w:val="single" w:sz="4" w:space="0" w:color="auto"/>
              <w:left w:val="nil"/>
              <w:bottom w:val="single" w:sz="4" w:space="0" w:color="auto"/>
              <w:right w:val="nil"/>
            </w:tcBorders>
            <w:shd w:val="clear" w:color="auto" w:fill="auto"/>
            <w:vAlign w:val="center"/>
          </w:tcPr>
          <w:p w14:paraId="6D01CCAF" w14:textId="50385CC7"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w:t>
            </w:r>
          </w:p>
        </w:tc>
      </w:tr>
      <w:tr w:rsidR="00C36C6B" w:rsidRPr="00C36C6B" w14:paraId="52369FF1" w14:textId="77777777" w:rsidTr="002C7E46">
        <w:trPr>
          <w:trHeight w:val="20"/>
        </w:trPr>
        <w:tc>
          <w:tcPr>
            <w:tcW w:w="1079" w:type="pct"/>
            <w:tcBorders>
              <w:top w:val="nil"/>
              <w:left w:val="nil"/>
              <w:bottom w:val="nil"/>
              <w:right w:val="nil"/>
            </w:tcBorders>
            <w:shd w:val="clear" w:color="auto" w:fill="auto"/>
            <w:vAlign w:val="bottom"/>
          </w:tcPr>
          <w:p w14:paraId="66C63D8E" w14:textId="0DB0A639" w:rsidR="00C36C6B" w:rsidRPr="00C36C6B" w:rsidRDefault="00C36C6B" w:rsidP="00C36C6B">
            <w:pPr>
              <w:jc w:val="left"/>
              <w:rPr>
                <w:rFonts w:asciiTheme="minorHAnsi" w:hAnsiTheme="minorHAnsi" w:cstheme="minorHAnsi"/>
                <w:color w:val="000000" w:themeColor="text1"/>
                <w:szCs w:val="20"/>
                <w:highlight w:val="yellow"/>
              </w:rPr>
            </w:pPr>
            <w:r w:rsidRPr="00C36C6B">
              <w:rPr>
                <w:rFonts w:asciiTheme="minorHAnsi" w:hAnsiTheme="minorHAnsi" w:cstheme="minorHAnsi"/>
                <w:szCs w:val="20"/>
              </w:rPr>
              <w:t>Первісна вартість</w:t>
            </w:r>
          </w:p>
        </w:tc>
        <w:tc>
          <w:tcPr>
            <w:tcW w:w="785" w:type="pct"/>
            <w:tcBorders>
              <w:top w:val="nil"/>
              <w:left w:val="nil"/>
              <w:bottom w:val="nil"/>
              <w:right w:val="nil"/>
            </w:tcBorders>
            <w:shd w:val="clear" w:color="auto" w:fill="auto"/>
            <w:vAlign w:val="center"/>
          </w:tcPr>
          <w:p w14:paraId="5E346399" w14:textId="1CA19FDD"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7 341 </w:t>
            </w:r>
          </w:p>
        </w:tc>
        <w:tc>
          <w:tcPr>
            <w:tcW w:w="588" w:type="pct"/>
            <w:tcBorders>
              <w:top w:val="nil"/>
              <w:left w:val="nil"/>
              <w:bottom w:val="nil"/>
              <w:right w:val="nil"/>
            </w:tcBorders>
            <w:shd w:val="clear" w:color="auto" w:fill="auto"/>
            <w:vAlign w:val="center"/>
          </w:tcPr>
          <w:p w14:paraId="4C9370B8" w14:textId="3585755E"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190 569 </w:t>
            </w:r>
          </w:p>
        </w:tc>
        <w:tc>
          <w:tcPr>
            <w:tcW w:w="539" w:type="pct"/>
            <w:tcBorders>
              <w:top w:val="nil"/>
              <w:left w:val="nil"/>
              <w:bottom w:val="nil"/>
              <w:right w:val="nil"/>
            </w:tcBorders>
            <w:shd w:val="clear" w:color="auto" w:fill="auto"/>
            <w:vAlign w:val="center"/>
          </w:tcPr>
          <w:p w14:paraId="4F581BDC" w14:textId="49CDC088"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211 554 </w:t>
            </w:r>
          </w:p>
        </w:tc>
        <w:tc>
          <w:tcPr>
            <w:tcW w:w="539" w:type="pct"/>
            <w:tcBorders>
              <w:top w:val="nil"/>
              <w:left w:val="nil"/>
              <w:bottom w:val="nil"/>
              <w:right w:val="nil"/>
            </w:tcBorders>
            <w:shd w:val="clear" w:color="auto" w:fill="auto"/>
            <w:vAlign w:val="center"/>
          </w:tcPr>
          <w:p w14:paraId="023198AC" w14:textId="007557B3"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11 866 </w:t>
            </w:r>
          </w:p>
        </w:tc>
        <w:tc>
          <w:tcPr>
            <w:tcW w:w="784" w:type="pct"/>
            <w:tcBorders>
              <w:top w:val="nil"/>
              <w:left w:val="nil"/>
              <w:bottom w:val="nil"/>
              <w:right w:val="nil"/>
            </w:tcBorders>
            <w:shd w:val="clear" w:color="auto" w:fill="auto"/>
            <w:vAlign w:val="center"/>
          </w:tcPr>
          <w:p w14:paraId="43BAB87B" w14:textId="39E7C421"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22 039 </w:t>
            </w:r>
          </w:p>
        </w:tc>
        <w:tc>
          <w:tcPr>
            <w:tcW w:w="294" w:type="pct"/>
            <w:tcBorders>
              <w:top w:val="nil"/>
              <w:left w:val="nil"/>
              <w:bottom w:val="nil"/>
              <w:right w:val="nil"/>
            </w:tcBorders>
            <w:shd w:val="clear" w:color="auto" w:fill="auto"/>
            <w:vAlign w:val="center"/>
          </w:tcPr>
          <w:p w14:paraId="6744F883" w14:textId="5FC1F43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574 </w:t>
            </w:r>
          </w:p>
        </w:tc>
        <w:tc>
          <w:tcPr>
            <w:tcW w:w="392" w:type="pct"/>
            <w:tcBorders>
              <w:top w:val="nil"/>
              <w:left w:val="nil"/>
              <w:bottom w:val="nil"/>
              <w:right w:val="nil"/>
            </w:tcBorders>
            <w:shd w:val="clear" w:color="auto" w:fill="auto"/>
            <w:vAlign w:val="center"/>
          </w:tcPr>
          <w:p w14:paraId="5BFE9F6A" w14:textId="76492513"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443 943 </w:t>
            </w:r>
          </w:p>
        </w:tc>
      </w:tr>
      <w:tr w:rsidR="00C36C6B" w:rsidRPr="00C36C6B" w14:paraId="5339333A" w14:textId="77777777" w:rsidTr="002C7E46">
        <w:trPr>
          <w:trHeight w:val="20"/>
        </w:trPr>
        <w:tc>
          <w:tcPr>
            <w:tcW w:w="1079" w:type="pct"/>
            <w:tcBorders>
              <w:top w:val="nil"/>
              <w:left w:val="nil"/>
              <w:bottom w:val="nil"/>
              <w:right w:val="nil"/>
            </w:tcBorders>
            <w:shd w:val="clear" w:color="auto" w:fill="auto"/>
            <w:vAlign w:val="bottom"/>
          </w:tcPr>
          <w:p w14:paraId="14A2B2C0" w14:textId="43970D44" w:rsidR="00C36C6B" w:rsidRPr="00C36C6B" w:rsidRDefault="00C36C6B" w:rsidP="00C36C6B">
            <w:pPr>
              <w:jc w:val="lef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Накопичена амортизація</w:t>
            </w:r>
          </w:p>
        </w:tc>
        <w:tc>
          <w:tcPr>
            <w:tcW w:w="785" w:type="pct"/>
            <w:tcBorders>
              <w:top w:val="nil"/>
              <w:left w:val="nil"/>
              <w:bottom w:val="nil"/>
              <w:right w:val="nil"/>
            </w:tcBorders>
            <w:shd w:val="clear" w:color="auto" w:fill="auto"/>
            <w:vAlign w:val="center"/>
          </w:tcPr>
          <w:p w14:paraId="40B02D31" w14:textId="24A4DA66"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center"/>
          </w:tcPr>
          <w:p w14:paraId="5EFD0ADF" w14:textId="3D9BD77E"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(44 673)</w:t>
            </w:r>
          </w:p>
        </w:tc>
        <w:tc>
          <w:tcPr>
            <w:tcW w:w="539" w:type="pct"/>
            <w:tcBorders>
              <w:top w:val="nil"/>
              <w:left w:val="nil"/>
              <w:bottom w:val="nil"/>
              <w:right w:val="nil"/>
            </w:tcBorders>
            <w:shd w:val="clear" w:color="auto" w:fill="auto"/>
            <w:vAlign w:val="center"/>
          </w:tcPr>
          <w:p w14:paraId="2C96E6B4" w14:textId="7DF1FFD4" w:rsidR="00C36C6B" w:rsidRPr="00C36C6B" w:rsidRDefault="00C36C6B" w:rsidP="00C36C6B">
            <w:pPr>
              <w:jc w:val="right"/>
              <w:rPr>
                <w:rFonts w:asciiTheme="minorHAnsi" w:hAnsiTheme="minorHAnsi" w:cstheme="minorHAnsi"/>
                <w:b/>
                <w:bCs/>
                <w:color w:val="000000" w:themeColor="text1"/>
                <w:szCs w:val="20"/>
                <w:highlight w:val="yellow"/>
                <w:lang w:val="ru-RU"/>
              </w:rPr>
            </w:pPr>
            <w:r w:rsidRPr="00C36C6B">
              <w:rPr>
                <w:rFonts w:asciiTheme="minorHAnsi" w:hAnsiTheme="minorHAnsi" w:cstheme="minorHAnsi"/>
                <w:szCs w:val="20"/>
              </w:rPr>
              <w:t>(117 071)</w:t>
            </w:r>
          </w:p>
        </w:tc>
        <w:tc>
          <w:tcPr>
            <w:tcW w:w="539" w:type="pct"/>
            <w:tcBorders>
              <w:top w:val="nil"/>
              <w:left w:val="nil"/>
              <w:bottom w:val="nil"/>
              <w:right w:val="nil"/>
            </w:tcBorders>
            <w:shd w:val="clear" w:color="auto" w:fill="auto"/>
            <w:vAlign w:val="center"/>
          </w:tcPr>
          <w:p w14:paraId="341D4B20" w14:textId="6DB57442"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(3 787)</w:t>
            </w:r>
          </w:p>
        </w:tc>
        <w:tc>
          <w:tcPr>
            <w:tcW w:w="784" w:type="pct"/>
            <w:tcBorders>
              <w:top w:val="nil"/>
              <w:left w:val="nil"/>
              <w:bottom w:val="nil"/>
              <w:right w:val="nil"/>
            </w:tcBorders>
            <w:shd w:val="clear" w:color="auto" w:fill="auto"/>
            <w:vAlign w:val="center"/>
          </w:tcPr>
          <w:p w14:paraId="62D7EC41" w14:textId="7E613E24"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(14 265)</w:t>
            </w:r>
          </w:p>
        </w:tc>
        <w:tc>
          <w:tcPr>
            <w:tcW w:w="294" w:type="pct"/>
            <w:tcBorders>
              <w:top w:val="nil"/>
              <w:left w:val="nil"/>
              <w:bottom w:val="nil"/>
              <w:right w:val="nil"/>
            </w:tcBorders>
            <w:shd w:val="clear" w:color="auto" w:fill="auto"/>
            <w:vAlign w:val="center"/>
          </w:tcPr>
          <w:p w14:paraId="6966CDEF" w14:textId="730F1909"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(140)</w:t>
            </w:r>
          </w:p>
        </w:tc>
        <w:tc>
          <w:tcPr>
            <w:tcW w:w="392" w:type="pct"/>
            <w:tcBorders>
              <w:top w:val="nil"/>
              <w:left w:val="nil"/>
              <w:bottom w:val="nil"/>
              <w:right w:val="nil"/>
            </w:tcBorders>
            <w:shd w:val="clear" w:color="auto" w:fill="auto"/>
            <w:vAlign w:val="center"/>
          </w:tcPr>
          <w:p w14:paraId="27F73F04" w14:textId="325F7AC7"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(179 936)</w:t>
            </w:r>
          </w:p>
        </w:tc>
      </w:tr>
      <w:tr w:rsidR="00C36C6B" w:rsidRPr="00C36C6B" w14:paraId="6744AB00" w14:textId="77777777" w:rsidTr="002C7E46">
        <w:trPr>
          <w:trHeight w:val="20"/>
        </w:trPr>
        <w:tc>
          <w:tcPr>
            <w:tcW w:w="1079" w:type="pct"/>
            <w:tcBorders>
              <w:top w:val="nil"/>
              <w:left w:val="nil"/>
              <w:bottom w:val="single" w:sz="4" w:space="0" w:color="auto"/>
              <w:right w:val="nil"/>
            </w:tcBorders>
            <w:shd w:val="clear" w:color="auto" w:fill="auto"/>
            <w:vAlign w:val="bottom"/>
          </w:tcPr>
          <w:p w14:paraId="546F0971" w14:textId="13F5E52F"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b/>
                <w:bCs/>
                <w:szCs w:val="20"/>
              </w:rPr>
              <w:t>Чиста балансова вартість</w:t>
            </w:r>
          </w:p>
        </w:tc>
        <w:tc>
          <w:tcPr>
            <w:tcW w:w="785" w:type="pct"/>
            <w:tcBorders>
              <w:top w:val="nil"/>
              <w:left w:val="nil"/>
              <w:bottom w:val="single" w:sz="4" w:space="0" w:color="auto"/>
              <w:right w:val="nil"/>
            </w:tcBorders>
            <w:shd w:val="clear" w:color="auto" w:fill="auto"/>
            <w:vAlign w:val="center"/>
          </w:tcPr>
          <w:p w14:paraId="42CA17EE" w14:textId="5B65FB16"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7 341 </w:t>
            </w:r>
          </w:p>
        </w:tc>
        <w:tc>
          <w:tcPr>
            <w:tcW w:w="588" w:type="pct"/>
            <w:tcBorders>
              <w:top w:val="nil"/>
              <w:left w:val="nil"/>
              <w:bottom w:val="single" w:sz="4" w:space="0" w:color="auto"/>
              <w:right w:val="nil"/>
            </w:tcBorders>
            <w:shd w:val="clear" w:color="auto" w:fill="auto"/>
            <w:vAlign w:val="center"/>
          </w:tcPr>
          <w:p w14:paraId="7CB2363C" w14:textId="725E71FA"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145 896 </w:t>
            </w:r>
          </w:p>
        </w:tc>
        <w:tc>
          <w:tcPr>
            <w:tcW w:w="539" w:type="pct"/>
            <w:tcBorders>
              <w:top w:val="nil"/>
              <w:left w:val="nil"/>
              <w:bottom w:val="single" w:sz="4" w:space="0" w:color="auto"/>
              <w:right w:val="nil"/>
            </w:tcBorders>
            <w:shd w:val="clear" w:color="auto" w:fill="auto"/>
            <w:vAlign w:val="center"/>
          </w:tcPr>
          <w:p w14:paraId="5BD79C39" w14:textId="2C476EBF"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94 483 </w:t>
            </w:r>
          </w:p>
        </w:tc>
        <w:tc>
          <w:tcPr>
            <w:tcW w:w="539" w:type="pct"/>
            <w:tcBorders>
              <w:top w:val="nil"/>
              <w:left w:val="nil"/>
              <w:bottom w:val="single" w:sz="4" w:space="0" w:color="auto"/>
              <w:right w:val="nil"/>
            </w:tcBorders>
            <w:shd w:val="clear" w:color="auto" w:fill="auto"/>
            <w:vAlign w:val="center"/>
          </w:tcPr>
          <w:p w14:paraId="79911D6E" w14:textId="4B7050A8"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8 079 </w:t>
            </w:r>
          </w:p>
        </w:tc>
        <w:tc>
          <w:tcPr>
            <w:tcW w:w="784" w:type="pct"/>
            <w:tcBorders>
              <w:top w:val="nil"/>
              <w:left w:val="nil"/>
              <w:bottom w:val="single" w:sz="4" w:space="0" w:color="auto"/>
              <w:right w:val="nil"/>
            </w:tcBorders>
            <w:shd w:val="clear" w:color="auto" w:fill="auto"/>
            <w:vAlign w:val="center"/>
          </w:tcPr>
          <w:p w14:paraId="4F230649" w14:textId="2ED30A8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7 774 </w:t>
            </w:r>
          </w:p>
        </w:tc>
        <w:tc>
          <w:tcPr>
            <w:tcW w:w="294" w:type="pct"/>
            <w:tcBorders>
              <w:top w:val="nil"/>
              <w:left w:val="nil"/>
              <w:bottom w:val="single" w:sz="4" w:space="0" w:color="auto"/>
              <w:right w:val="nil"/>
            </w:tcBorders>
            <w:shd w:val="clear" w:color="auto" w:fill="auto"/>
            <w:vAlign w:val="center"/>
          </w:tcPr>
          <w:p w14:paraId="759F90F3" w14:textId="7146F005"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434 </w:t>
            </w:r>
          </w:p>
        </w:tc>
        <w:tc>
          <w:tcPr>
            <w:tcW w:w="392" w:type="pct"/>
            <w:tcBorders>
              <w:top w:val="nil"/>
              <w:left w:val="nil"/>
              <w:bottom w:val="single" w:sz="4" w:space="0" w:color="auto"/>
              <w:right w:val="nil"/>
            </w:tcBorders>
            <w:shd w:val="clear" w:color="auto" w:fill="auto"/>
            <w:vAlign w:val="center"/>
          </w:tcPr>
          <w:p w14:paraId="0588AC3F" w14:textId="4972E501"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 xml:space="preserve">264 007 </w:t>
            </w:r>
          </w:p>
        </w:tc>
      </w:tr>
      <w:tr w:rsidR="00C36C6B" w:rsidRPr="00C36C6B" w14:paraId="4BD7B2D8" w14:textId="77777777" w:rsidTr="002C7E46">
        <w:trPr>
          <w:trHeight w:val="20"/>
        </w:trPr>
        <w:tc>
          <w:tcPr>
            <w:tcW w:w="1079" w:type="pct"/>
            <w:tcBorders>
              <w:top w:val="nil"/>
              <w:left w:val="nil"/>
              <w:bottom w:val="nil"/>
              <w:right w:val="nil"/>
            </w:tcBorders>
            <w:shd w:val="clear" w:color="auto" w:fill="auto"/>
            <w:vAlign w:val="bottom"/>
          </w:tcPr>
          <w:p w14:paraId="50610F18" w14:textId="57C8347F" w:rsidR="00C36C6B" w:rsidRPr="00C36C6B" w:rsidRDefault="00C36C6B" w:rsidP="00C36C6B">
            <w:pPr>
              <w:jc w:val="left"/>
              <w:rPr>
                <w:rFonts w:asciiTheme="minorHAnsi" w:hAnsiTheme="minorHAnsi" w:cstheme="minorHAnsi"/>
                <w:bCs/>
                <w:color w:val="000000" w:themeColor="text1"/>
                <w:szCs w:val="20"/>
                <w:highlight w:val="yellow"/>
              </w:rPr>
            </w:pPr>
          </w:p>
        </w:tc>
        <w:tc>
          <w:tcPr>
            <w:tcW w:w="785" w:type="pct"/>
            <w:tcBorders>
              <w:top w:val="nil"/>
              <w:left w:val="nil"/>
              <w:bottom w:val="nil"/>
              <w:right w:val="nil"/>
            </w:tcBorders>
            <w:shd w:val="clear" w:color="auto" w:fill="auto"/>
            <w:vAlign w:val="center"/>
          </w:tcPr>
          <w:p w14:paraId="368CDB5E" w14:textId="3692E3DF" w:rsidR="00C36C6B" w:rsidRPr="00C36C6B" w:rsidRDefault="00C36C6B" w:rsidP="00C36C6B">
            <w:pPr>
              <w:jc w:val="right"/>
              <w:rPr>
                <w:rFonts w:asciiTheme="minorHAnsi" w:hAnsiTheme="minorHAnsi" w:cstheme="minorHAnsi"/>
                <w:color w:val="000000" w:themeColor="text1"/>
                <w:szCs w:val="20"/>
                <w:highlight w:val="yellow"/>
              </w:rPr>
            </w:pPr>
          </w:p>
        </w:tc>
        <w:tc>
          <w:tcPr>
            <w:tcW w:w="588" w:type="pct"/>
            <w:tcBorders>
              <w:top w:val="nil"/>
              <w:left w:val="nil"/>
              <w:bottom w:val="nil"/>
              <w:right w:val="nil"/>
            </w:tcBorders>
            <w:shd w:val="clear" w:color="auto" w:fill="auto"/>
            <w:vAlign w:val="center"/>
          </w:tcPr>
          <w:p w14:paraId="2B381C06" w14:textId="3C3CC5E4" w:rsidR="00C36C6B" w:rsidRPr="00C36C6B" w:rsidRDefault="00C36C6B" w:rsidP="00C36C6B">
            <w:pPr>
              <w:jc w:val="right"/>
              <w:rPr>
                <w:rFonts w:asciiTheme="minorHAnsi" w:hAnsiTheme="minorHAnsi" w:cstheme="minorHAnsi"/>
                <w:color w:val="000000" w:themeColor="text1"/>
                <w:szCs w:val="20"/>
                <w:highlight w:val="yellow"/>
              </w:rPr>
            </w:pPr>
          </w:p>
        </w:tc>
        <w:tc>
          <w:tcPr>
            <w:tcW w:w="539" w:type="pct"/>
            <w:tcBorders>
              <w:top w:val="nil"/>
              <w:left w:val="nil"/>
              <w:bottom w:val="nil"/>
              <w:right w:val="nil"/>
            </w:tcBorders>
            <w:shd w:val="clear" w:color="auto" w:fill="auto"/>
            <w:vAlign w:val="center"/>
          </w:tcPr>
          <w:p w14:paraId="2297D3D2" w14:textId="02809A8B" w:rsidR="00C36C6B" w:rsidRPr="00C36C6B" w:rsidRDefault="00C36C6B" w:rsidP="00C36C6B">
            <w:pPr>
              <w:jc w:val="right"/>
              <w:rPr>
                <w:rFonts w:asciiTheme="minorHAnsi" w:hAnsiTheme="minorHAnsi" w:cstheme="minorHAnsi"/>
                <w:color w:val="000000" w:themeColor="text1"/>
                <w:szCs w:val="20"/>
                <w:highlight w:val="yellow"/>
              </w:rPr>
            </w:pPr>
          </w:p>
        </w:tc>
        <w:tc>
          <w:tcPr>
            <w:tcW w:w="539" w:type="pct"/>
            <w:tcBorders>
              <w:top w:val="nil"/>
              <w:left w:val="nil"/>
              <w:bottom w:val="nil"/>
              <w:right w:val="nil"/>
            </w:tcBorders>
            <w:shd w:val="clear" w:color="auto" w:fill="auto"/>
            <w:vAlign w:val="center"/>
          </w:tcPr>
          <w:p w14:paraId="35A5D743" w14:textId="1AB56A64" w:rsidR="00C36C6B" w:rsidRPr="00C36C6B" w:rsidRDefault="00C36C6B" w:rsidP="00C36C6B">
            <w:pPr>
              <w:jc w:val="right"/>
              <w:rPr>
                <w:rFonts w:asciiTheme="minorHAnsi" w:hAnsiTheme="minorHAnsi" w:cstheme="minorHAnsi"/>
                <w:color w:val="000000" w:themeColor="text1"/>
                <w:szCs w:val="20"/>
                <w:highlight w:val="yellow"/>
              </w:rPr>
            </w:pPr>
          </w:p>
        </w:tc>
        <w:tc>
          <w:tcPr>
            <w:tcW w:w="784" w:type="pct"/>
            <w:tcBorders>
              <w:top w:val="nil"/>
              <w:left w:val="nil"/>
              <w:bottom w:val="nil"/>
              <w:right w:val="nil"/>
            </w:tcBorders>
            <w:shd w:val="clear" w:color="auto" w:fill="auto"/>
            <w:vAlign w:val="center"/>
          </w:tcPr>
          <w:p w14:paraId="363FF31E" w14:textId="3CBF3208" w:rsidR="00C36C6B" w:rsidRPr="00C36C6B" w:rsidRDefault="00C36C6B" w:rsidP="00C36C6B">
            <w:pPr>
              <w:jc w:val="right"/>
              <w:rPr>
                <w:rFonts w:asciiTheme="minorHAnsi" w:hAnsiTheme="minorHAnsi" w:cstheme="minorHAnsi"/>
                <w:color w:val="000000" w:themeColor="text1"/>
                <w:szCs w:val="20"/>
                <w:highlight w:val="yellow"/>
              </w:rPr>
            </w:pPr>
          </w:p>
        </w:tc>
        <w:tc>
          <w:tcPr>
            <w:tcW w:w="294" w:type="pct"/>
            <w:tcBorders>
              <w:top w:val="nil"/>
              <w:left w:val="nil"/>
              <w:bottom w:val="nil"/>
              <w:right w:val="nil"/>
            </w:tcBorders>
            <w:shd w:val="clear" w:color="auto" w:fill="auto"/>
            <w:vAlign w:val="center"/>
          </w:tcPr>
          <w:p w14:paraId="1C824599" w14:textId="0DEF3420" w:rsidR="00C36C6B" w:rsidRPr="00C36C6B" w:rsidRDefault="00C36C6B" w:rsidP="00C36C6B">
            <w:pPr>
              <w:jc w:val="right"/>
              <w:rPr>
                <w:rFonts w:asciiTheme="minorHAnsi" w:hAnsiTheme="minorHAnsi" w:cstheme="minorHAnsi"/>
                <w:color w:val="000000" w:themeColor="text1"/>
                <w:szCs w:val="20"/>
                <w:highlight w:val="yellow"/>
              </w:rPr>
            </w:pPr>
          </w:p>
        </w:tc>
        <w:tc>
          <w:tcPr>
            <w:tcW w:w="392" w:type="pct"/>
            <w:tcBorders>
              <w:top w:val="nil"/>
              <w:left w:val="nil"/>
              <w:bottom w:val="nil"/>
              <w:right w:val="nil"/>
            </w:tcBorders>
            <w:shd w:val="clear" w:color="auto" w:fill="auto"/>
            <w:vAlign w:val="center"/>
          </w:tcPr>
          <w:p w14:paraId="4CB4B6DA" w14:textId="2CAF7396" w:rsidR="00C36C6B" w:rsidRPr="00C36C6B" w:rsidRDefault="00C36C6B" w:rsidP="00C36C6B">
            <w:pPr>
              <w:jc w:val="right"/>
              <w:rPr>
                <w:rFonts w:asciiTheme="minorHAnsi" w:hAnsiTheme="minorHAnsi" w:cstheme="minorHAnsi"/>
                <w:b/>
                <w:bCs/>
                <w:color w:val="000000" w:themeColor="text1"/>
                <w:szCs w:val="20"/>
                <w:highlight w:val="yellow"/>
              </w:rPr>
            </w:pPr>
          </w:p>
        </w:tc>
      </w:tr>
      <w:tr w:rsidR="00C36C6B" w:rsidRPr="00C36C6B" w14:paraId="5A9AD4A3" w14:textId="77777777" w:rsidTr="002C7E46">
        <w:trPr>
          <w:trHeight w:val="20"/>
        </w:trPr>
        <w:tc>
          <w:tcPr>
            <w:tcW w:w="1079" w:type="pct"/>
            <w:tcBorders>
              <w:top w:val="nil"/>
              <w:left w:val="nil"/>
              <w:bottom w:val="nil"/>
              <w:right w:val="nil"/>
            </w:tcBorders>
            <w:shd w:val="clear" w:color="auto" w:fill="auto"/>
            <w:vAlign w:val="bottom"/>
          </w:tcPr>
          <w:p w14:paraId="2CF4E6A8" w14:textId="1E9C8E3C"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Надходження</w:t>
            </w:r>
          </w:p>
        </w:tc>
        <w:tc>
          <w:tcPr>
            <w:tcW w:w="785" w:type="pct"/>
            <w:tcBorders>
              <w:top w:val="nil"/>
              <w:left w:val="nil"/>
              <w:bottom w:val="nil"/>
              <w:right w:val="nil"/>
            </w:tcBorders>
            <w:shd w:val="clear" w:color="auto" w:fill="auto"/>
            <w:vAlign w:val="center"/>
          </w:tcPr>
          <w:p w14:paraId="4A417ADF" w14:textId="7C84113A" w:rsidR="00C36C6B" w:rsidRPr="00C43FBA" w:rsidRDefault="003C06B8"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25 222</w:t>
            </w:r>
            <w:r w:rsidR="00C36C6B" w:rsidRPr="00C43FBA">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bottom"/>
          </w:tcPr>
          <w:p w14:paraId="022A8AE8" w14:textId="03D2D7A4"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bottom"/>
          </w:tcPr>
          <w:p w14:paraId="351FA599" w14:textId="1121D381"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120 </w:t>
            </w:r>
          </w:p>
        </w:tc>
        <w:tc>
          <w:tcPr>
            <w:tcW w:w="539" w:type="pct"/>
            <w:tcBorders>
              <w:top w:val="nil"/>
              <w:left w:val="nil"/>
              <w:bottom w:val="nil"/>
              <w:right w:val="nil"/>
            </w:tcBorders>
            <w:shd w:val="clear" w:color="auto" w:fill="auto"/>
            <w:vAlign w:val="bottom"/>
          </w:tcPr>
          <w:p w14:paraId="1A20A4B8" w14:textId="119B5EC3"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bottom"/>
          </w:tcPr>
          <w:p w14:paraId="715BF1EB" w14:textId="5C4E38A1"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  </w:t>
            </w:r>
          </w:p>
        </w:tc>
        <w:tc>
          <w:tcPr>
            <w:tcW w:w="294" w:type="pct"/>
            <w:tcBorders>
              <w:top w:val="nil"/>
              <w:left w:val="nil"/>
              <w:bottom w:val="nil"/>
              <w:right w:val="nil"/>
            </w:tcBorders>
            <w:shd w:val="clear" w:color="auto" w:fill="auto"/>
            <w:vAlign w:val="bottom"/>
          </w:tcPr>
          <w:p w14:paraId="54F3CCE4" w14:textId="78F28951"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6 </w:t>
            </w:r>
          </w:p>
        </w:tc>
        <w:tc>
          <w:tcPr>
            <w:tcW w:w="392" w:type="pct"/>
            <w:tcBorders>
              <w:top w:val="nil"/>
              <w:left w:val="nil"/>
              <w:bottom w:val="nil"/>
              <w:right w:val="nil"/>
            </w:tcBorders>
            <w:shd w:val="clear" w:color="auto" w:fill="auto"/>
            <w:vAlign w:val="bottom"/>
          </w:tcPr>
          <w:p w14:paraId="28081F05" w14:textId="6B4A7763"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25 348 </w:t>
            </w:r>
          </w:p>
        </w:tc>
      </w:tr>
      <w:tr w:rsidR="00C36C6B" w:rsidRPr="00C36C6B" w14:paraId="2759B929" w14:textId="77777777" w:rsidTr="002C7E46">
        <w:trPr>
          <w:trHeight w:val="20"/>
        </w:trPr>
        <w:tc>
          <w:tcPr>
            <w:tcW w:w="1079" w:type="pct"/>
            <w:tcBorders>
              <w:top w:val="nil"/>
              <w:left w:val="nil"/>
              <w:bottom w:val="nil"/>
              <w:right w:val="nil"/>
            </w:tcBorders>
            <w:shd w:val="clear" w:color="auto" w:fill="auto"/>
            <w:vAlign w:val="bottom"/>
          </w:tcPr>
          <w:p w14:paraId="44F4A3E9" w14:textId="16CFF725"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Переведення з однієї категорії в іншу</w:t>
            </w:r>
          </w:p>
        </w:tc>
        <w:tc>
          <w:tcPr>
            <w:tcW w:w="785" w:type="pct"/>
            <w:tcBorders>
              <w:top w:val="nil"/>
              <w:left w:val="nil"/>
              <w:bottom w:val="nil"/>
              <w:right w:val="nil"/>
            </w:tcBorders>
            <w:shd w:val="clear" w:color="auto" w:fill="auto"/>
            <w:vAlign w:val="center"/>
          </w:tcPr>
          <w:p w14:paraId="78410093" w14:textId="64743DD7"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(23 552)</w:t>
            </w:r>
          </w:p>
        </w:tc>
        <w:tc>
          <w:tcPr>
            <w:tcW w:w="588" w:type="pct"/>
            <w:tcBorders>
              <w:top w:val="nil"/>
              <w:left w:val="nil"/>
              <w:bottom w:val="nil"/>
              <w:right w:val="nil"/>
            </w:tcBorders>
            <w:shd w:val="clear" w:color="auto" w:fill="auto"/>
            <w:vAlign w:val="bottom"/>
          </w:tcPr>
          <w:p w14:paraId="12BCADF4" w14:textId="5FC4B7AD"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6 227 </w:t>
            </w:r>
          </w:p>
        </w:tc>
        <w:tc>
          <w:tcPr>
            <w:tcW w:w="539" w:type="pct"/>
            <w:tcBorders>
              <w:top w:val="nil"/>
              <w:left w:val="nil"/>
              <w:bottom w:val="nil"/>
              <w:right w:val="nil"/>
            </w:tcBorders>
            <w:shd w:val="clear" w:color="auto" w:fill="auto"/>
            <w:vAlign w:val="bottom"/>
          </w:tcPr>
          <w:p w14:paraId="6B6A12A0" w14:textId="33A4FB45"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15 977 </w:t>
            </w:r>
          </w:p>
        </w:tc>
        <w:tc>
          <w:tcPr>
            <w:tcW w:w="539" w:type="pct"/>
            <w:tcBorders>
              <w:top w:val="nil"/>
              <w:left w:val="nil"/>
              <w:bottom w:val="nil"/>
              <w:right w:val="nil"/>
            </w:tcBorders>
            <w:shd w:val="clear" w:color="auto" w:fill="auto"/>
            <w:vAlign w:val="bottom"/>
          </w:tcPr>
          <w:p w14:paraId="5F596BAD" w14:textId="7ECB6488"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bottom"/>
          </w:tcPr>
          <w:p w14:paraId="0484A6E4" w14:textId="3E46C6CD"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1 296 </w:t>
            </w:r>
          </w:p>
        </w:tc>
        <w:tc>
          <w:tcPr>
            <w:tcW w:w="294" w:type="pct"/>
            <w:tcBorders>
              <w:top w:val="nil"/>
              <w:left w:val="nil"/>
              <w:bottom w:val="nil"/>
              <w:right w:val="nil"/>
            </w:tcBorders>
            <w:shd w:val="clear" w:color="auto" w:fill="auto"/>
            <w:vAlign w:val="bottom"/>
          </w:tcPr>
          <w:p w14:paraId="43043250" w14:textId="4EDD0B51"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52 </w:t>
            </w:r>
          </w:p>
        </w:tc>
        <w:tc>
          <w:tcPr>
            <w:tcW w:w="392" w:type="pct"/>
            <w:tcBorders>
              <w:top w:val="nil"/>
              <w:left w:val="nil"/>
              <w:bottom w:val="nil"/>
              <w:right w:val="nil"/>
            </w:tcBorders>
            <w:shd w:val="clear" w:color="auto" w:fill="auto"/>
            <w:vAlign w:val="bottom"/>
          </w:tcPr>
          <w:p w14:paraId="130AFB5C" w14:textId="78D60059"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0 </w:t>
            </w:r>
          </w:p>
        </w:tc>
      </w:tr>
      <w:tr w:rsidR="00C36C6B" w:rsidRPr="00C36C6B" w14:paraId="5ED51522" w14:textId="77777777" w:rsidTr="002C7E46">
        <w:trPr>
          <w:trHeight w:val="20"/>
        </w:trPr>
        <w:tc>
          <w:tcPr>
            <w:tcW w:w="1079" w:type="pct"/>
            <w:tcBorders>
              <w:top w:val="nil"/>
              <w:left w:val="nil"/>
              <w:bottom w:val="nil"/>
              <w:right w:val="nil"/>
            </w:tcBorders>
            <w:shd w:val="clear" w:color="auto" w:fill="auto"/>
            <w:vAlign w:val="bottom"/>
          </w:tcPr>
          <w:p w14:paraId="38213156" w14:textId="3A06BCE5"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Вибуття</w:t>
            </w:r>
          </w:p>
        </w:tc>
        <w:tc>
          <w:tcPr>
            <w:tcW w:w="785" w:type="pct"/>
            <w:tcBorders>
              <w:top w:val="nil"/>
              <w:left w:val="nil"/>
              <w:bottom w:val="nil"/>
              <w:right w:val="nil"/>
            </w:tcBorders>
            <w:shd w:val="clear" w:color="auto" w:fill="auto"/>
            <w:vAlign w:val="center"/>
          </w:tcPr>
          <w:p w14:paraId="6C6E891B" w14:textId="4640EFBE"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(787)</w:t>
            </w:r>
          </w:p>
        </w:tc>
        <w:tc>
          <w:tcPr>
            <w:tcW w:w="588" w:type="pct"/>
            <w:tcBorders>
              <w:top w:val="nil"/>
              <w:left w:val="nil"/>
              <w:bottom w:val="nil"/>
              <w:right w:val="nil"/>
            </w:tcBorders>
            <w:shd w:val="clear" w:color="auto" w:fill="auto"/>
            <w:vAlign w:val="center"/>
          </w:tcPr>
          <w:p w14:paraId="69A817DB" w14:textId="082FA56A"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center"/>
          </w:tcPr>
          <w:p w14:paraId="70A8233E" w14:textId="688A5C1B" w:rsidR="00C36C6B" w:rsidRPr="00C43FBA" w:rsidRDefault="00C36C6B" w:rsidP="00C36C6B">
            <w:pPr>
              <w:jc w:val="right"/>
              <w:rPr>
                <w:rFonts w:asciiTheme="minorHAnsi" w:hAnsiTheme="minorHAnsi" w:cstheme="minorHAnsi"/>
                <w:color w:val="000000" w:themeColor="text1"/>
                <w:szCs w:val="20"/>
                <w:lang w:val="ru-RU"/>
              </w:rPr>
            </w:pPr>
            <w:r w:rsidRPr="00C43FBA">
              <w:rPr>
                <w:rFonts w:asciiTheme="minorHAnsi" w:hAnsiTheme="minorHAnsi" w:cstheme="minorHAnsi"/>
                <w:szCs w:val="20"/>
              </w:rPr>
              <w:t>(284)</w:t>
            </w:r>
          </w:p>
        </w:tc>
        <w:tc>
          <w:tcPr>
            <w:tcW w:w="539" w:type="pct"/>
            <w:tcBorders>
              <w:top w:val="nil"/>
              <w:left w:val="nil"/>
              <w:bottom w:val="nil"/>
              <w:right w:val="nil"/>
            </w:tcBorders>
            <w:shd w:val="clear" w:color="auto" w:fill="auto"/>
            <w:vAlign w:val="center"/>
          </w:tcPr>
          <w:p w14:paraId="7D5CF6EF" w14:textId="514AF9AC"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center"/>
          </w:tcPr>
          <w:p w14:paraId="727A20F0" w14:textId="2BEF5C28"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(24)</w:t>
            </w:r>
          </w:p>
        </w:tc>
        <w:tc>
          <w:tcPr>
            <w:tcW w:w="294" w:type="pct"/>
            <w:tcBorders>
              <w:top w:val="nil"/>
              <w:left w:val="nil"/>
              <w:bottom w:val="nil"/>
              <w:right w:val="nil"/>
            </w:tcBorders>
            <w:shd w:val="clear" w:color="auto" w:fill="auto"/>
            <w:vAlign w:val="center"/>
          </w:tcPr>
          <w:p w14:paraId="2A01C0DF" w14:textId="161E2ADA"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(3)</w:t>
            </w:r>
          </w:p>
        </w:tc>
        <w:tc>
          <w:tcPr>
            <w:tcW w:w="392" w:type="pct"/>
            <w:tcBorders>
              <w:top w:val="nil"/>
              <w:left w:val="nil"/>
              <w:bottom w:val="nil"/>
              <w:right w:val="nil"/>
            </w:tcBorders>
            <w:shd w:val="clear" w:color="auto" w:fill="auto"/>
            <w:vAlign w:val="bottom"/>
          </w:tcPr>
          <w:p w14:paraId="20510261" w14:textId="3057CBDF" w:rsidR="00C36C6B" w:rsidRPr="00C36C6B" w:rsidRDefault="00C36C6B" w:rsidP="00C36C6B">
            <w:pPr>
              <w:jc w:val="right"/>
              <w:rPr>
                <w:rFonts w:asciiTheme="minorHAnsi" w:hAnsiTheme="minorHAnsi" w:cstheme="minorHAnsi"/>
                <w:b/>
                <w:bCs/>
                <w:color w:val="000000" w:themeColor="text1"/>
                <w:szCs w:val="20"/>
                <w:highlight w:val="yellow"/>
                <w:lang w:val="ru-RU"/>
              </w:rPr>
            </w:pPr>
            <w:r w:rsidRPr="00C36C6B">
              <w:rPr>
                <w:rFonts w:asciiTheme="minorHAnsi" w:hAnsiTheme="minorHAnsi" w:cstheme="minorHAnsi"/>
                <w:b/>
                <w:bCs/>
                <w:szCs w:val="20"/>
              </w:rPr>
              <w:t>(1 098)</w:t>
            </w:r>
          </w:p>
        </w:tc>
      </w:tr>
      <w:tr w:rsidR="00C36C6B" w:rsidRPr="00C36C6B" w14:paraId="6FC9179C" w14:textId="77777777" w:rsidTr="002C7E46">
        <w:trPr>
          <w:trHeight w:val="20"/>
        </w:trPr>
        <w:tc>
          <w:tcPr>
            <w:tcW w:w="1079" w:type="pct"/>
            <w:tcBorders>
              <w:top w:val="nil"/>
              <w:left w:val="nil"/>
              <w:bottom w:val="nil"/>
              <w:right w:val="nil"/>
            </w:tcBorders>
            <w:shd w:val="clear" w:color="auto" w:fill="auto"/>
            <w:vAlign w:val="bottom"/>
          </w:tcPr>
          <w:p w14:paraId="2F98A7A6" w14:textId="12A2823A"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Вибуття амортизації</w:t>
            </w:r>
          </w:p>
        </w:tc>
        <w:tc>
          <w:tcPr>
            <w:tcW w:w="785" w:type="pct"/>
            <w:tcBorders>
              <w:top w:val="nil"/>
              <w:left w:val="nil"/>
              <w:bottom w:val="nil"/>
              <w:right w:val="nil"/>
            </w:tcBorders>
            <w:shd w:val="clear" w:color="auto" w:fill="auto"/>
            <w:vAlign w:val="center"/>
          </w:tcPr>
          <w:p w14:paraId="0E644D2C" w14:textId="4D0695CB" w:rsidR="00C36C6B" w:rsidRPr="00C43FBA" w:rsidRDefault="00C43FBA" w:rsidP="00C36C6B">
            <w:pPr>
              <w:jc w:val="right"/>
              <w:rPr>
                <w:rFonts w:asciiTheme="minorHAnsi" w:hAnsiTheme="minorHAnsi" w:cstheme="minorHAnsi"/>
                <w:color w:val="000000" w:themeColor="text1"/>
                <w:szCs w:val="20"/>
              </w:rPr>
            </w:pPr>
            <w:r w:rsidRPr="00C43FBA">
              <w:rPr>
                <w:rFonts w:asciiTheme="minorHAnsi" w:hAnsiTheme="minorHAnsi" w:cstheme="minorHAnsi"/>
                <w:color w:val="000000" w:themeColor="text1"/>
                <w:szCs w:val="20"/>
              </w:rPr>
              <w:t>-</w:t>
            </w:r>
          </w:p>
        </w:tc>
        <w:tc>
          <w:tcPr>
            <w:tcW w:w="588" w:type="pct"/>
            <w:tcBorders>
              <w:top w:val="nil"/>
              <w:left w:val="nil"/>
              <w:bottom w:val="nil"/>
              <w:right w:val="nil"/>
            </w:tcBorders>
            <w:shd w:val="clear" w:color="auto" w:fill="auto"/>
            <w:vAlign w:val="center"/>
          </w:tcPr>
          <w:p w14:paraId="18EAEAEA" w14:textId="3BABC7CB"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539" w:type="pct"/>
            <w:tcBorders>
              <w:top w:val="nil"/>
              <w:left w:val="nil"/>
              <w:bottom w:val="nil"/>
              <w:right w:val="nil"/>
            </w:tcBorders>
            <w:shd w:val="clear" w:color="auto" w:fill="auto"/>
            <w:vAlign w:val="center"/>
          </w:tcPr>
          <w:p w14:paraId="0742DC71" w14:textId="07AAA149"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196 </w:t>
            </w:r>
          </w:p>
        </w:tc>
        <w:tc>
          <w:tcPr>
            <w:tcW w:w="539" w:type="pct"/>
            <w:tcBorders>
              <w:top w:val="nil"/>
              <w:left w:val="nil"/>
              <w:bottom w:val="nil"/>
              <w:right w:val="nil"/>
            </w:tcBorders>
            <w:shd w:val="clear" w:color="auto" w:fill="auto"/>
            <w:vAlign w:val="center"/>
          </w:tcPr>
          <w:p w14:paraId="2B0F8ED4" w14:textId="10C55457"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  </w:t>
            </w:r>
          </w:p>
        </w:tc>
        <w:tc>
          <w:tcPr>
            <w:tcW w:w="784" w:type="pct"/>
            <w:tcBorders>
              <w:top w:val="nil"/>
              <w:left w:val="nil"/>
              <w:bottom w:val="nil"/>
              <w:right w:val="nil"/>
            </w:tcBorders>
            <w:shd w:val="clear" w:color="auto" w:fill="auto"/>
            <w:vAlign w:val="center"/>
          </w:tcPr>
          <w:p w14:paraId="0EE72233" w14:textId="4B4AF5B9"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24 </w:t>
            </w:r>
          </w:p>
        </w:tc>
        <w:tc>
          <w:tcPr>
            <w:tcW w:w="294" w:type="pct"/>
            <w:tcBorders>
              <w:top w:val="nil"/>
              <w:left w:val="nil"/>
              <w:bottom w:val="nil"/>
              <w:right w:val="nil"/>
            </w:tcBorders>
            <w:shd w:val="clear" w:color="auto" w:fill="auto"/>
            <w:vAlign w:val="center"/>
          </w:tcPr>
          <w:p w14:paraId="2F4ABD0D" w14:textId="5337A664" w:rsidR="00C36C6B" w:rsidRPr="00C36C6B" w:rsidRDefault="003C06B8" w:rsidP="00C36C6B">
            <w:pPr>
              <w:jc w:val="right"/>
              <w:rPr>
                <w:rFonts w:asciiTheme="minorHAnsi" w:hAnsiTheme="minorHAnsi" w:cstheme="minorHAnsi"/>
                <w:color w:val="000000" w:themeColor="text1"/>
                <w:szCs w:val="20"/>
                <w:highlight w:val="yellow"/>
              </w:rPr>
            </w:pPr>
            <w:r>
              <w:rPr>
                <w:rFonts w:asciiTheme="minorHAnsi" w:hAnsiTheme="minorHAnsi" w:cstheme="minorHAnsi"/>
                <w:szCs w:val="20"/>
              </w:rPr>
              <w:t>3</w:t>
            </w:r>
            <w:r w:rsidR="00C36C6B" w:rsidRPr="00C36C6B">
              <w:rPr>
                <w:rFonts w:asciiTheme="minorHAnsi" w:hAnsiTheme="minorHAnsi" w:cstheme="minorHAnsi"/>
                <w:szCs w:val="20"/>
              </w:rPr>
              <w:t xml:space="preserve"> </w:t>
            </w:r>
          </w:p>
        </w:tc>
        <w:tc>
          <w:tcPr>
            <w:tcW w:w="392" w:type="pct"/>
            <w:tcBorders>
              <w:top w:val="nil"/>
              <w:left w:val="nil"/>
              <w:bottom w:val="nil"/>
              <w:right w:val="nil"/>
            </w:tcBorders>
            <w:shd w:val="clear" w:color="auto" w:fill="auto"/>
            <w:vAlign w:val="bottom"/>
          </w:tcPr>
          <w:p w14:paraId="61435963" w14:textId="36BE11AE"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223 </w:t>
            </w:r>
          </w:p>
        </w:tc>
      </w:tr>
      <w:tr w:rsidR="00C36C6B" w:rsidRPr="00C36C6B" w14:paraId="7EE0A075" w14:textId="77777777" w:rsidTr="002C7E46">
        <w:trPr>
          <w:trHeight w:val="20"/>
        </w:trPr>
        <w:tc>
          <w:tcPr>
            <w:tcW w:w="1079" w:type="pct"/>
            <w:tcBorders>
              <w:top w:val="nil"/>
              <w:left w:val="nil"/>
              <w:bottom w:val="nil"/>
              <w:right w:val="nil"/>
            </w:tcBorders>
            <w:shd w:val="clear" w:color="auto" w:fill="auto"/>
            <w:vAlign w:val="bottom"/>
          </w:tcPr>
          <w:p w14:paraId="509F2A63" w14:textId="3999D3E2" w:rsidR="00C36C6B" w:rsidRPr="00C36C6B" w:rsidRDefault="00C36C6B" w:rsidP="00C36C6B">
            <w:pPr>
              <w:jc w:val="left"/>
              <w:rPr>
                <w:rFonts w:asciiTheme="minorHAnsi" w:hAnsiTheme="minorHAnsi" w:cstheme="minorHAnsi"/>
                <w:bCs/>
                <w:color w:val="000000" w:themeColor="text1"/>
                <w:szCs w:val="20"/>
                <w:highlight w:val="yellow"/>
              </w:rPr>
            </w:pPr>
            <w:r w:rsidRPr="00C36C6B">
              <w:rPr>
                <w:rFonts w:asciiTheme="minorHAnsi" w:hAnsiTheme="minorHAnsi" w:cstheme="minorHAnsi"/>
                <w:szCs w:val="20"/>
              </w:rPr>
              <w:t>Амортизаційні відрахування</w:t>
            </w:r>
          </w:p>
        </w:tc>
        <w:tc>
          <w:tcPr>
            <w:tcW w:w="785" w:type="pct"/>
            <w:tcBorders>
              <w:top w:val="nil"/>
              <w:left w:val="nil"/>
              <w:bottom w:val="nil"/>
              <w:right w:val="nil"/>
            </w:tcBorders>
            <w:shd w:val="clear" w:color="auto" w:fill="auto"/>
            <w:vAlign w:val="center"/>
          </w:tcPr>
          <w:p w14:paraId="052A0058" w14:textId="5F59F2A3" w:rsidR="00C36C6B" w:rsidRPr="00C43FBA" w:rsidRDefault="00C43FBA" w:rsidP="00C36C6B">
            <w:pPr>
              <w:jc w:val="right"/>
              <w:rPr>
                <w:rFonts w:asciiTheme="minorHAnsi" w:hAnsiTheme="minorHAnsi" w:cstheme="minorHAnsi"/>
                <w:color w:val="000000" w:themeColor="text1"/>
                <w:szCs w:val="20"/>
              </w:rPr>
            </w:pPr>
            <w:r w:rsidRPr="00C43FBA">
              <w:rPr>
                <w:rFonts w:asciiTheme="minorHAnsi" w:hAnsiTheme="minorHAnsi" w:cstheme="minorHAnsi"/>
                <w:color w:val="000000" w:themeColor="text1"/>
                <w:szCs w:val="20"/>
              </w:rPr>
              <w:t>-</w:t>
            </w:r>
          </w:p>
        </w:tc>
        <w:tc>
          <w:tcPr>
            <w:tcW w:w="588" w:type="pct"/>
            <w:tcBorders>
              <w:top w:val="nil"/>
              <w:left w:val="nil"/>
              <w:bottom w:val="nil"/>
              <w:right w:val="nil"/>
            </w:tcBorders>
            <w:shd w:val="clear" w:color="auto" w:fill="auto"/>
            <w:vAlign w:val="center"/>
          </w:tcPr>
          <w:p w14:paraId="375BE46B" w14:textId="61707762" w:rsidR="00C36C6B" w:rsidRPr="00C43FBA" w:rsidRDefault="003C06B8"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(9 057</w:t>
            </w:r>
            <w:r w:rsidR="00C36C6B" w:rsidRPr="00C43FBA">
              <w:rPr>
                <w:rFonts w:asciiTheme="minorHAnsi" w:hAnsiTheme="minorHAnsi" w:cstheme="minorHAnsi"/>
                <w:szCs w:val="20"/>
              </w:rPr>
              <w:t>)</w:t>
            </w:r>
          </w:p>
        </w:tc>
        <w:tc>
          <w:tcPr>
            <w:tcW w:w="539" w:type="pct"/>
            <w:tcBorders>
              <w:top w:val="nil"/>
              <w:left w:val="nil"/>
              <w:bottom w:val="nil"/>
              <w:right w:val="nil"/>
            </w:tcBorders>
            <w:shd w:val="clear" w:color="auto" w:fill="auto"/>
            <w:vAlign w:val="center"/>
          </w:tcPr>
          <w:p w14:paraId="5B56BC67" w14:textId="1EE477A0"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(18 997)</w:t>
            </w:r>
          </w:p>
        </w:tc>
        <w:tc>
          <w:tcPr>
            <w:tcW w:w="539" w:type="pct"/>
            <w:tcBorders>
              <w:top w:val="nil"/>
              <w:left w:val="nil"/>
              <w:bottom w:val="nil"/>
              <w:right w:val="nil"/>
            </w:tcBorders>
            <w:shd w:val="clear" w:color="auto" w:fill="auto"/>
            <w:vAlign w:val="center"/>
          </w:tcPr>
          <w:p w14:paraId="2986ABF6" w14:textId="3DCDFE2E"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(1 583)</w:t>
            </w:r>
          </w:p>
        </w:tc>
        <w:tc>
          <w:tcPr>
            <w:tcW w:w="784" w:type="pct"/>
            <w:tcBorders>
              <w:top w:val="nil"/>
              <w:left w:val="nil"/>
              <w:bottom w:val="nil"/>
              <w:right w:val="nil"/>
            </w:tcBorders>
            <w:shd w:val="clear" w:color="auto" w:fill="auto"/>
            <w:vAlign w:val="center"/>
          </w:tcPr>
          <w:p w14:paraId="2E7FCF77" w14:textId="229D0860"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(2 855)</w:t>
            </w:r>
          </w:p>
        </w:tc>
        <w:tc>
          <w:tcPr>
            <w:tcW w:w="294" w:type="pct"/>
            <w:tcBorders>
              <w:top w:val="nil"/>
              <w:left w:val="nil"/>
              <w:bottom w:val="nil"/>
              <w:right w:val="nil"/>
            </w:tcBorders>
            <w:shd w:val="clear" w:color="auto" w:fill="auto"/>
            <w:vAlign w:val="center"/>
          </w:tcPr>
          <w:p w14:paraId="7846CC90" w14:textId="7D57004C"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(57)</w:t>
            </w:r>
          </w:p>
        </w:tc>
        <w:tc>
          <w:tcPr>
            <w:tcW w:w="392" w:type="pct"/>
            <w:tcBorders>
              <w:top w:val="nil"/>
              <w:left w:val="nil"/>
              <w:bottom w:val="nil"/>
              <w:right w:val="nil"/>
            </w:tcBorders>
            <w:shd w:val="clear" w:color="auto" w:fill="auto"/>
            <w:vAlign w:val="bottom"/>
          </w:tcPr>
          <w:p w14:paraId="4F22A354" w14:textId="0DB35102"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(32 549)</w:t>
            </w:r>
          </w:p>
        </w:tc>
      </w:tr>
      <w:tr w:rsidR="00C36C6B" w:rsidRPr="00C36C6B" w14:paraId="73F44678" w14:textId="77777777" w:rsidTr="002C7E46">
        <w:trPr>
          <w:trHeight w:val="20"/>
        </w:trPr>
        <w:tc>
          <w:tcPr>
            <w:tcW w:w="1079" w:type="pct"/>
            <w:tcBorders>
              <w:top w:val="single" w:sz="4" w:space="0" w:color="auto"/>
              <w:left w:val="nil"/>
              <w:bottom w:val="single" w:sz="4" w:space="0" w:color="auto"/>
              <w:right w:val="nil"/>
            </w:tcBorders>
            <w:shd w:val="clear" w:color="auto" w:fill="auto"/>
            <w:vAlign w:val="bottom"/>
          </w:tcPr>
          <w:p w14:paraId="6A7AC663" w14:textId="7184A8A1" w:rsidR="00C36C6B" w:rsidRPr="00C36C6B" w:rsidRDefault="00C36C6B" w:rsidP="00C36C6B">
            <w:pPr>
              <w:jc w:val="left"/>
              <w:rPr>
                <w:rFonts w:asciiTheme="minorHAnsi" w:hAnsiTheme="minorHAnsi" w:cstheme="minorHAnsi"/>
                <w:color w:val="000000" w:themeColor="text1"/>
                <w:szCs w:val="20"/>
                <w:highlight w:val="yellow"/>
              </w:rPr>
            </w:pPr>
            <w:r w:rsidRPr="00C36C6B">
              <w:rPr>
                <w:rFonts w:asciiTheme="minorHAnsi" w:hAnsiTheme="minorHAnsi" w:cstheme="minorHAnsi"/>
                <w:b/>
                <w:bCs/>
                <w:szCs w:val="20"/>
              </w:rPr>
              <w:t>Станом на 31.12.2020</w:t>
            </w:r>
          </w:p>
        </w:tc>
        <w:tc>
          <w:tcPr>
            <w:tcW w:w="785" w:type="pct"/>
            <w:tcBorders>
              <w:top w:val="single" w:sz="4" w:space="0" w:color="auto"/>
              <w:left w:val="nil"/>
              <w:bottom w:val="single" w:sz="4" w:space="0" w:color="auto"/>
              <w:right w:val="nil"/>
            </w:tcBorders>
            <w:shd w:val="clear" w:color="auto" w:fill="auto"/>
            <w:vAlign w:val="center"/>
          </w:tcPr>
          <w:p w14:paraId="0319B064" w14:textId="5F3E51F7"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w:t>
            </w:r>
          </w:p>
        </w:tc>
        <w:tc>
          <w:tcPr>
            <w:tcW w:w="588" w:type="pct"/>
            <w:tcBorders>
              <w:top w:val="single" w:sz="4" w:space="0" w:color="auto"/>
              <w:left w:val="nil"/>
              <w:bottom w:val="single" w:sz="4" w:space="0" w:color="auto"/>
              <w:right w:val="nil"/>
            </w:tcBorders>
            <w:shd w:val="clear" w:color="auto" w:fill="auto"/>
            <w:vAlign w:val="center"/>
          </w:tcPr>
          <w:p w14:paraId="455B1E81" w14:textId="1F6ECAAF"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w:t>
            </w:r>
          </w:p>
        </w:tc>
        <w:tc>
          <w:tcPr>
            <w:tcW w:w="539" w:type="pct"/>
            <w:tcBorders>
              <w:top w:val="single" w:sz="4" w:space="0" w:color="auto"/>
              <w:left w:val="nil"/>
              <w:bottom w:val="single" w:sz="4" w:space="0" w:color="auto"/>
              <w:right w:val="nil"/>
            </w:tcBorders>
            <w:shd w:val="clear" w:color="auto" w:fill="auto"/>
            <w:vAlign w:val="center"/>
          </w:tcPr>
          <w:p w14:paraId="53AE09E7" w14:textId="6EF27238" w:rsidR="00C36C6B" w:rsidRPr="00C43FBA" w:rsidRDefault="00C36C6B" w:rsidP="00C36C6B">
            <w:pPr>
              <w:jc w:val="right"/>
              <w:rPr>
                <w:rFonts w:asciiTheme="minorHAnsi" w:hAnsiTheme="minorHAnsi" w:cstheme="minorHAnsi"/>
                <w:color w:val="000000" w:themeColor="text1"/>
                <w:szCs w:val="20"/>
                <w:lang w:val="ru-RU"/>
              </w:rPr>
            </w:pPr>
            <w:r w:rsidRPr="00C43FBA">
              <w:rPr>
                <w:rFonts w:asciiTheme="minorHAnsi" w:hAnsiTheme="minorHAnsi" w:cstheme="minorHAnsi"/>
                <w:szCs w:val="20"/>
              </w:rPr>
              <w:t> </w:t>
            </w:r>
          </w:p>
        </w:tc>
        <w:tc>
          <w:tcPr>
            <w:tcW w:w="539" w:type="pct"/>
            <w:tcBorders>
              <w:top w:val="single" w:sz="4" w:space="0" w:color="auto"/>
              <w:left w:val="nil"/>
              <w:bottom w:val="single" w:sz="4" w:space="0" w:color="auto"/>
              <w:right w:val="nil"/>
            </w:tcBorders>
            <w:shd w:val="clear" w:color="auto" w:fill="auto"/>
            <w:vAlign w:val="center"/>
          </w:tcPr>
          <w:p w14:paraId="56BEC5AC" w14:textId="458436C8"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w:t>
            </w:r>
          </w:p>
        </w:tc>
        <w:tc>
          <w:tcPr>
            <w:tcW w:w="784" w:type="pct"/>
            <w:tcBorders>
              <w:top w:val="single" w:sz="4" w:space="0" w:color="auto"/>
              <w:left w:val="nil"/>
              <w:bottom w:val="single" w:sz="4" w:space="0" w:color="auto"/>
              <w:right w:val="nil"/>
            </w:tcBorders>
            <w:shd w:val="clear" w:color="auto" w:fill="auto"/>
            <w:vAlign w:val="center"/>
          </w:tcPr>
          <w:p w14:paraId="6FB240C2" w14:textId="4F1C2E98"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w:t>
            </w:r>
          </w:p>
        </w:tc>
        <w:tc>
          <w:tcPr>
            <w:tcW w:w="294" w:type="pct"/>
            <w:tcBorders>
              <w:top w:val="single" w:sz="4" w:space="0" w:color="auto"/>
              <w:left w:val="nil"/>
              <w:bottom w:val="single" w:sz="4" w:space="0" w:color="auto"/>
              <w:right w:val="nil"/>
            </w:tcBorders>
            <w:shd w:val="clear" w:color="auto" w:fill="auto"/>
            <w:vAlign w:val="center"/>
          </w:tcPr>
          <w:p w14:paraId="3FBDC385" w14:textId="7DC8EE72"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w:t>
            </w:r>
          </w:p>
        </w:tc>
        <w:tc>
          <w:tcPr>
            <w:tcW w:w="392" w:type="pct"/>
            <w:tcBorders>
              <w:top w:val="single" w:sz="4" w:space="0" w:color="auto"/>
              <w:left w:val="nil"/>
              <w:bottom w:val="single" w:sz="4" w:space="0" w:color="auto"/>
              <w:right w:val="nil"/>
            </w:tcBorders>
            <w:shd w:val="clear" w:color="auto" w:fill="auto"/>
            <w:vAlign w:val="bottom"/>
          </w:tcPr>
          <w:p w14:paraId="6E0293FD" w14:textId="18360352" w:rsidR="00C36C6B" w:rsidRPr="00C36C6B" w:rsidRDefault="00C36C6B" w:rsidP="00C36C6B">
            <w:pPr>
              <w:jc w:val="right"/>
              <w:rPr>
                <w:rFonts w:asciiTheme="minorHAnsi" w:hAnsiTheme="minorHAnsi" w:cstheme="minorHAnsi"/>
                <w:b/>
                <w:bCs/>
                <w:color w:val="000000" w:themeColor="text1"/>
                <w:szCs w:val="20"/>
                <w:highlight w:val="yellow"/>
                <w:lang w:val="ru-RU"/>
              </w:rPr>
            </w:pPr>
            <w:r w:rsidRPr="00C36C6B">
              <w:rPr>
                <w:rFonts w:asciiTheme="minorHAnsi" w:hAnsiTheme="minorHAnsi" w:cstheme="minorHAnsi"/>
                <w:b/>
                <w:bCs/>
                <w:szCs w:val="20"/>
              </w:rPr>
              <w:t> </w:t>
            </w:r>
          </w:p>
        </w:tc>
      </w:tr>
      <w:tr w:rsidR="00C36C6B" w:rsidRPr="00C36C6B" w14:paraId="00AF0283" w14:textId="77777777" w:rsidTr="002C7E46">
        <w:trPr>
          <w:trHeight w:val="20"/>
        </w:trPr>
        <w:tc>
          <w:tcPr>
            <w:tcW w:w="1079" w:type="pct"/>
            <w:tcBorders>
              <w:top w:val="nil"/>
              <w:left w:val="nil"/>
              <w:bottom w:val="nil"/>
              <w:right w:val="nil"/>
            </w:tcBorders>
            <w:shd w:val="clear" w:color="auto" w:fill="auto"/>
            <w:vAlign w:val="bottom"/>
          </w:tcPr>
          <w:p w14:paraId="7D4069A5" w14:textId="4B074777" w:rsidR="00C36C6B" w:rsidRPr="00C36C6B" w:rsidRDefault="00C36C6B" w:rsidP="00C36C6B">
            <w:pPr>
              <w:jc w:val="left"/>
              <w:rPr>
                <w:rFonts w:asciiTheme="minorHAnsi" w:hAnsiTheme="minorHAnsi" w:cstheme="minorHAnsi"/>
                <w:color w:val="000000" w:themeColor="text1"/>
                <w:szCs w:val="20"/>
                <w:highlight w:val="yellow"/>
              </w:rPr>
            </w:pPr>
            <w:r w:rsidRPr="00C36C6B">
              <w:rPr>
                <w:rFonts w:asciiTheme="minorHAnsi" w:hAnsiTheme="minorHAnsi" w:cstheme="minorHAnsi"/>
                <w:szCs w:val="20"/>
              </w:rPr>
              <w:t>Первісна вартість</w:t>
            </w:r>
          </w:p>
        </w:tc>
        <w:tc>
          <w:tcPr>
            <w:tcW w:w="785" w:type="pct"/>
            <w:tcBorders>
              <w:top w:val="nil"/>
              <w:left w:val="nil"/>
              <w:bottom w:val="nil"/>
              <w:right w:val="nil"/>
            </w:tcBorders>
            <w:shd w:val="clear" w:color="auto" w:fill="auto"/>
            <w:vAlign w:val="center"/>
          </w:tcPr>
          <w:p w14:paraId="2B21C91E" w14:textId="46228143"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8 224 </w:t>
            </w:r>
          </w:p>
        </w:tc>
        <w:tc>
          <w:tcPr>
            <w:tcW w:w="588" w:type="pct"/>
            <w:tcBorders>
              <w:top w:val="nil"/>
              <w:left w:val="nil"/>
              <w:bottom w:val="nil"/>
              <w:right w:val="nil"/>
            </w:tcBorders>
            <w:shd w:val="clear" w:color="auto" w:fill="auto"/>
            <w:vAlign w:val="center"/>
          </w:tcPr>
          <w:p w14:paraId="45EB55F1" w14:textId="1F2F6ECD"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196 796 </w:t>
            </w:r>
          </w:p>
        </w:tc>
        <w:tc>
          <w:tcPr>
            <w:tcW w:w="539" w:type="pct"/>
            <w:tcBorders>
              <w:top w:val="nil"/>
              <w:left w:val="nil"/>
              <w:bottom w:val="nil"/>
              <w:right w:val="nil"/>
            </w:tcBorders>
            <w:shd w:val="clear" w:color="auto" w:fill="auto"/>
            <w:vAlign w:val="center"/>
          </w:tcPr>
          <w:p w14:paraId="704CCD99" w14:textId="02AD8684"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227 367 </w:t>
            </w:r>
          </w:p>
        </w:tc>
        <w:tc>
          <w:tcPr>
            <w:tcW w:w="539" w:type="pct"/>
            <w:tcBorders>
              <w:top w:val="nil"/>
              <w:left w:val="nil"/>
              <w:bottom w:val="nil"/>
              <w:right w:val="nil"/>
            </w:tcBorders>
            <w:shd w:val="clear" w:color="auto" w:fill="auto"/>
            <w:vAlign w:val="center"/>
          </w:tcPr>
          <w:p w14:paraId="4D78589F" w14:textId="78E22C6D" w:rsidR="00C36C6B" w:rsidRPr="00C43FBA" w:rsidRDefault="00C36C6B" w:rsidP="00C36C6B">
            <w:pPr>
              <w:jc w:val="right"/>
              <w:rPr>
                <w:rFonts w:asciiTheme="minorHAnsi" w:hAnsiTheme="minorHAnsi" w:cstheme="minorHAnsi"/>
                <w:color w:val="000000" w:themeColor="text1"/>
                <w:szCs w:val="20"/>
              </w:rPr>
            </w:pPr>
            <w:r w:rsidRPr="00C43FBA">
              <w:rPr>
                <w:rFonts w:asciiTheme="minorHAnsi" w:hAnsiTheme="minorHAnsi" w:cstheme="minorHAnsi"/>
                <w:szCs w:val="20"/>
              </w:rPr>
              <w:t xml:space="preserve">11 866 </w:t>
            </w:r>
          </w:p>
        </w:tc>
        <w:tc>
          <w:tcPr>
            <w:tcW w:w="784" w:type="pct"/>
            <w:tcBorders>
              <w:top w:val="nil"/>
              <w:left w:val="nil"/>
              <w:bottom w:val="nil"/>
              <w:right w:val="nil"/>
            </w:tcBorders>
            <w:shd w:val="clear" w:color="auto" w:fill="auto"/>
            <w:vAlign w:val="center"/>
          </w:tcPr>
          <w:p w14:paraId="1CECB749" w14:textId="0768A384" w:rsidR="00C36C6B" w:rsidRPr="00C36C6B" w:rsidRDefault="003C06B8" w:rsidP="00C36C6B">
            <w:pPr>
              <w:jc w:val="right"/>
              <w:rPr>
                <w:rFonts w:asciiTheme="minorHAnsi" w:hAnsiTheme="minorHAnsi" w:cstheme="minorHAnsi"/>
                <w:color w:val="000000" w:themeColor="text1"/>
                <w:szCs w:val="20"/>
                <w:highlight w:val="yellow"/>
              </w:rPr>
            </w:pPr>
            <w:r>
              <w:rPr>
                <w:rFonts w:asciiTheme="minorHAnsi" w:hAnsiTheme="minorHAnsi" w:cstheme="minorHAnsi"/>
                <w:szCs w:val="20"/>
              </w:rPr>
              <w:t>23 311</w:t>
            </w:r>
            <w:r w:rsidR="00C36C6B" w:rsidRPr="00C36C6B">
              <w:rPr>
                <w:rFonts w:asciiTheme="minorHAnsi" w:hAnsiTheme="minorHAnsi" w:cstheme="minorHAnsi"/>
                <w:szCs w:val="20"/>
              </w:rPr>
              <w:t xml:space="preserve"> </w:t>
            </w:r>
          </w:p>
        </w:tc>
        <w:tc>
          <w:tcPr>
            <w:tcW w:w="294" w:type="pct"/>
            <w:tcBorders>
              <w:top w:val="nil"/>
              <w:left w:val="nil"/>
              <w:bottom w:val="nil"/>
              <w:right w:val="nil"/>
            </w:tcBorders>
            <w:shd w:val="clear" w:color="auto" w:fill="auto"/>
            <w:vAlign w:val="center"/>
          </w:tcPr>
          <w:p w14:paraId="7AB4E2FB" w14:textId="0D59D19A" w:rsidR="00C36C6B" w:rsidRPr="00C36C6B" w:rsidRDefault="00C36C6B" w:rsidP="00C36C6B">
            <w:pPr>
              <w:jc w:val="right"/>
              <w:rPr>
                <w:rFonts w:asciiTheme="minorHAnsi" w:hAnsiTheme="minorHAnsi" w:cstheme="minorHAnsi"/>
                <w:color w:val="000000" w:themeColor="text1"/>
                <w:szCs w:val="20"/>
                <w:highlight w:val="yellow"/>
              </w:rPr>
            </w:pPr>
            <w:r w:rsidRPr="00C36C6B">
              <w:rPr>
                <w:rFonts w:asciiTheme="minorHAnsi" w:hAnsiTheme="minorHAnsi" w:cstheme="minorHAnsi"/>
                <w:szCs w:val="20"/>
              </w:rPr>
              <w:t xml:space="preserve">629 </w:t>
            </w:r>
          </w:p>
        </w:tc>
        <w:tc>
          <w:tcPr>
            <w:tcW w:w="392" w:type="pct"/>
            <w:tcBorders>
              <w:top w:val="nil"/>
              <w:left w:val="nil"/>
              <w:bottom w:val="nil"/>
              <w:right w:val="nil"/>
            </w:tcBorders>
            <w:shd w:val="clear" w:color="auto" w:fill="auto"/>
            <w:vAlign w:val="bottom"/>
          </w:tcPr>
          <w:p w14:paraId="0874B777" w14:textId="02752E05"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b/>
                <w:bCs/>
                <w:szCs w:val="20"/>
              </w:rPr>
              <w:t xml:space="preserve">468 193 </w:t>
            </w:r>
          </w:p>
        </w:tc>
      </w:tr>
      <w:tr w:rsidR="00C36C6B" w:rsidRPr="00C36C6B" w14:paraId="6467816D" w14:textId="77777777" w:rsidTr="002C7E46">
        <w:trPr>
          <w:trHeight w:val="20"/>
        </w:trPr>
        <w:tc>
          <w:tcPr>
            <w:tcW w:w="1079" w:type="pct"/>
            <w:tcBorders>
              <w:top w:val="nil"/>
              <w:left w:val="nil"/>
              <w:bottom w:val="nil"/>
              <w:right w:val="nil"/>
            </w:tcBorders>
            <w:shd w:val="clear" w:color="auto" w:fill="auto"/>
            <w:vAlign w:val="bottom"/>
          </w:tcPr>
          <w:p w14:paraId="55000A7E" w14:textId="30DE959A" w:rsidR="00C36C6B" w:rsidRPr="00C36C6B" w:rsidRDefault="00C36C6B" w:rsidP="00C36C6B">
            <w:pPr>
              <w:jc w:val="lef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Накопичена амортизація</w:t>
            </w:r>
          </w:p>
        </w:tc>
        <w:tc>
          <w:tcPr>
            <w:tcW w:w="785" w:type="pct"/>
            <w:tcBorders>
              <w:top w:val="nil"/>
              <w:left w:val="nil"/>
              <w:bottom w:val="nil"/>
              <w:right w:val="nil"/>
            </w:tcBorders>
            <w:shd w:val="clear" w:color="auto" w:fill="auto"/>
            <w:vAlign w:val="center"/>
          </w:tcPr>
          <w:p w14:paraId="7D9F78BC" w14:textId="2A1307BA"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 xml:space="preserve">-  </w:t>
            </w:r>
          </w:p>
        </w:tc>
        <w:tc>
          <w:tcPr>
            <w:tcW w:w="588" w:type="pct"/>
            <w:tcBorders>
              <w:top w:val="nil"/>
              <w:left w:val="nil"/>
              <w:bottom w:val="nil"/>
              <w:right w:val="nil"/>
            </w:tcBorders>
            <w:shd w:val="clear" w:color="auto" w:fill="auto"/>
            <w:vAlign w:val="center"/>
          </w:tcPr>
          <w:p w14:paraId="7A7E7ED9" w14:textId="51990BE7"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(53 730)</w:t>
            </w:r>
          </w:p>
        </w:tc>
        <w:tc>
          <w:tcPr>
            <w:tcW w:w="539" w:type="pct"/>
            <w:tcBorders>
              <w:top w:val="nil"/>
              <w:left w:val="nil"/>
              <w:bottom w:val="nil"/>
              <w:right w:val="nil"/>
            </w:tcBorders>
            <w:shd w:val="clear" w:color="auto" w:fill="auto"/>
            <w:vAlign w:val="center"/>
          </w:tcPr>
          <w:p w14:paraId="61D54A35" w14:textId="4C7729D6" w:rsidR="00C36C6B" w:rsidRPr="00C36C6B" w:rsidRDefault="00C36C6B" w:rsidP="00C36C6B">
            <w:pPr>
              <w:jc w:val="right"/>
              <w:rPr>
                <w:rFonts w:asciiTheme="minorHAnsi" w:hAnsiTheme="minorHAnsi" w:cstheme="minorHAnsi"/>
                <w:b/>
                <w:bCs/>
                <w:color w:val="000000" w:themeColor="text1"/>
                <w:szCs w:val="20"/>
                <w:highlight w:val="yellow"/>
                <w:lang w:val="ru-RU"/>
              </w:rPr>
            </w:pPr>
            <w:r w:rsidRPr="00C36C6B">
              <w:rPr>
                <w:rFonts w:asciiTheme="minorHAnsi" w:hAnsiTheme="minorHAnsi" w:cstheme="minorHAnsi"/>
                <w:szCs w:val="20"/>
              </w:rPr>
              <w:t>(135 872)</w:t>
            </w:r>
          </w:p>
        </w:tc>
        <w:tc>
          <w:tcPr>
            <w:tcW w:w="539" w:type="pct"/>
            <w:tcBorders>
              <w:top w:val="nil"/>
              <w:left w:val="nil"/>
              <w:bottom w:val="nil"/>
              <w:right w:val="nil"/>
            </w:tcBorders>
            <w:shd w:val="clear" w:color="auto" w:fill="auto"/>
            <w:vAlign w:val="center"/>
          </w:tcPr>
          <w:p w14:paraId="4E8CCB5D" w14:textId="3DFFC340"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(5 370)</w:t>
            </w:r>
          </w:p>
        </w:tc>
        <w:tc>
          <w:tcPr>
            <w:tcW w:w="784" w:type="pct"/>
            <w:tcBorders>
              <w:top w:val="nil"/>
              <w:left w:val="nil"/>
              <w:bottom w:val="nil"/>
              <w:right w:val="nil"/>
            </w:tcBorders>
            <w:shd w:val="clear" w:color="auto" w:fill="auto"/>
            <w:vAlign w:val="center"/>
          </w:tcPr>
          <w:p w14:paraId="0A628F26" w14:textId="42B46838" w:rsidR="00C36C6B" w:rsidRPr="00C36C6B" w:rsidRDefault="003C06B8" w:rsidP="00C36C6B">
            <w:pPr>
              <w:jc w:val="right"/>
              <w:rPr>
                <w:rFonts w:asciiTheme="minorHAnsi" w:hAnsiTheme="minorHAnsi" w:cstheme="minorHAnsi"/>
                <w:b/>
                <w:bCs/>
                <w:color w:val="000000" w:themeColor="text1"/>
                <w:szCs w:val="20"/>
                <w:highlight w:val="yellow"/>
              </w:rPr>
            </w:pPr>
            <w:r>
              <w:rPr>
                <w:rFonts w:asciiTheme="minorHAnsi" w:hAnsiTheme="minorHAnsi" w:cstheme="minorHAnsi"/>
                <w:szCs w:val="20"/>
              </w:rPr>
              <w:t>(17 096</w:t>
            </w:r>
            <w:r w:rsidR="00C36C6B" w:rsidRPr="00C36C6B">
              <w:rPr>
                <w:rFonts w:asciiTheme="minorHAnsi" w:hAnsiTheme="minorHAnsi" w:cstheme="minorHAnsi"/>
                <w:szCs w:val="20"/>
              </w:rPr>
              <w:t>)</w:t>
            </w:r>
          </w:p>
        </w:tc>
        <w:tc>
          <w:tcPr>
            <w:tcW w:w="294" w:type="pct"/>
            <w:tcBorders>
              <w:top w:val="nil"/>
              <w:left w:val="nil"/>
              <w:bottom w:val="nil"/>
              <w:right w:val="nil"/>
            </w:tcBorders>
            <w:shd w:val="clear" w:color="auto" w:fill="auto"/>
            <w:vAlign w:val="center"/>
          </w:tcPr>
          <w:p w14:paraId="455DEEFD" w14:textId="23A14CAE" w:rsidR="00C36C6B" w:rsidRPr="00C36C6B" w:rsidRDefault="00C36C6B" w:rsidP="00C36C6B">
            <w:pPr>
              <w:jc w:val="right"/>
              <w:rPr>
                <w:rFonts w:asciiTheme="minorHAnsi" w:hAnsiTheme="minorHAnsi" w:cstheme="minorHAnsi"/>
                <w:b/>
                <w:bCs/>
                <w:color w:val="000000" w:themeColor="text1"/>
                <w:szCs w:val="20"/>
                <w:highlight w:val="yellow"/>
              </w:rPr>
            </w:pPr>
            <w:r w:rsidRPr="00C36C6B">
              <w:rPr>
                <w:rFonts w:asciiTheme="minorHAnsi" w:hAnsiTheme="minorHAnsi" w:cstheme="minorHAnsi"/>
                <w:szCs w:val="20"/>
              </w:rPr>
              <w:t>(194)</w:t>
            </w:r>
          </w:p>
        </w:tc>
        <w:tc>
          <w:tcPr>
            <w:tcW w:w="392" w:type="pct"/>
            <w:tcBorders>
              <w:top w:val="nil"/>
              <w:left w:val="nil"/>
              <w:bottom w:val="nil"/>
              <w:right w:val="nil"/>
            </w:tcBorders>
            <w:shd w:val="clear" w:color="auto" w:fill="auto"/>
            <w:vAlign w:val="bottom"/>
          </w:tcPr>
          <w:p w14:paraId="3FA6285E" w14:textId="7CFD049F" w:rsidR="00C36C6B" w:rsidRPr="00C36C6B" w:rsidRDefault="00C36C6B" w:rsidP="00C36C6B">
            <w:pPr>
              <w:jc w:val="right"/>
              <w:rPr>
                <w:rFonts w:asciiTheme="minorHAnsi" w:hAnsiTheme="minorHAnsi" w:cstheme="minorHAnsi"/>
                <w:b/>
                <w:bCs/>
                <w:color w:val="000000" w:themeColor="text1"/>
                <w:szCs w:val="20"/>
                <w:lang w:val="ru-RU"/>
              </w:rPr>
            </w:pPr>
            <w:r w:rsidRPr="00C36C6B">
              <w:rPr>
                <w:rFonts w:asciiTheme="minorHAnsi" w:hAnsiTheme="minorHAnsi" w:cstheme="minorHAnsi"/>
                <w:b/>
                <w:bCs/>
                <w:szCs w:val="20"/>
              </w:rPr>
              <w:t>(212 262)</w:t>
            </w:r>
          </w:p>
        </w:tc>
      </w:tr>
      <w:tr w:rsidR="00C36C6B" w:rsidRPr="00C36C6B" w14:paraId="786DEB80" w14:textId="77777777" w:rsidTr="002C7E46">
        <w:trPr>
          <w:trHeight w:val="20"/>
        </w:trPr>
        <w:tc>
          <w:tcPr>
            <w:tcW w:w="1079" w:type="pct"/>
            <w:tcBorders>
              <w:top w:val="nil"/>
              <w:left w:val="nil"/>
              <w:bottom w:val="single" w:sz="4" w:space="0" w:color="auto"/>
              <w:right w:val="nil"/>
            </w:tcBorders>
            <w:shd w:val="clear" w:color="auto" w:fill="auto"/>
            <w:vAlign w:val="bottom"/>
          </w:tcPr>
          <w:p w14:paraId="59FEE457" w14:textId="600C4805" w:rsidR="00C36C6B" w:rsidRPr="00C36C6B" w:rsidRDefault="00C36C6B" w:rsidP="00C36C6B">
            <w:pPr>
              <w:jc w:val="left"/>
              <w:rPr>
                <w:rFonts w:asciiTheme="minorHAnsi" w:hAnsiTheme="minorHAnsi" w:cstheme="minorHAnsi"/>
                <w:szCs w:val="20"/>
              </w:rPr>
            </w:pPr>
            <w:r w:rsidRPr="00C36C6B">
              <w:rPr>
                <w:rFonts w:asciiTheme="minorHAnsi" w:hAnsiTheme="minorHAnsi" w:cstheme="minorHAnsi"/>
                <w:b/>
                <w:bCs/>
                <w:szCs w:val="20"/>
              </w:rPr>
              <w:t>Чиста балансова вартість</w:t>
            </w:r>
          </w:p>
        </w:tc>
        <w:tc>
          <w:tcPr>
            <w:tcW w:w="785" w:type="pct"/>
            <w:tcBorders>
              <w:top w:val="nil"/>
              <w:left w:val="nil"/>
              <w:bottom w:val="single" w:sz="4" w:space="0" w:color="auto"/>
              <w:right w:val="nil"/>
            </w:tcBorders>
            <w:shd w:val="clear" w:color="auto" w:fill="auto"/>
            <w:vAlign w:val="center"/>
          </w:tcPr>
          <w:p w14:paraId="228ACEF9" w14:textId="5233E446" w:rsidR="00C36C6B" w:rsidRPr="00C36C6B" w:rsidRDefault="00C36C6B" w:rsidP="00C36C6B">
            <w:pPr>
              <w:jc w:val="right"/>
              <w:rPr>
                <w:rFonts w:asciiTheme="minorHAnsi" w:hAnsiTheme="minorHAnsi" w:cstheme="minorHAnsi"/>
                <w:szCs w:val="20"/>
              </w:rPr>
            </w:pPr>
            <w:r w:rsidRPr="00C36C6B">
              <w:rPr>
                <w:rFonts w:asciiTheme="minorHAnsi" w:hAnsiTheme="minorHAnsi" w:cstheme="minorHAnsi"/>
                <w:b/>
                <w:bCs/>
                <w:szCs w:val="20"/>
              </w:rPr>
              <w:t xml:space="preserve">8 224 </w:t>
            </w:r>
          </w:p>
        </w:tc>
        <w:tc>
          <w:tcPr>
            <w:tcW w:w="588" w:type="pct"/>
            <w:tcBorders>
              <w:top w:val="nil"/>
              <w:left w:val="nil"/>
              <w:bottom w:val="single" w:sz="4" w:space="0" w:color="auto"/>
              <w:right w:val="nil"/>
            </w:tcBorders>
            <w:shd w:val="clear" w:color="auto" w:fill="auto"/>
            <w:vAlign w:val="center"/>
          </w:tcPr>
          <w:p w14:paraId="4232F97A" w14:textId="2BC91FF5" w:rsidR="00C36C6B" w:rsidRPr="00C36C6B" w:rsidRDefault="00C36C6B" w:rsidP="00C36C6B">
            <w:pPr>
              <w:jc w:val="right"/>
              <w:rPr>
                <w:rFonts w:asciiTheme="minorHAnsi" w:hAnsiTheme="minorHAnsi" w:cstheme="minorHAnsi"/>
                <w:szCs w:val="20"/>
              </w:rPr>
            </w:pPr>
            <w:r w:rsidRPr="00C36C6B">
              <w:rPr>
                <w:rFonts w:asciiTheme="minorHAnsi" w:hAnsiTheme="minorHAnsi" w:cstheme="minorHAnsi"/>
                <w:b/>
                <w:bCs/>
                <w:szCs w:val="20"/>
              </w:rPr>
              <w:t xml:space="preserve">143 066 </w:t>
            </w:r>
          </w:p>
        </w:tc>
        <w:tc>
          <w:tcPr>
            <w:tcW w:w="539" w:type="pct"/>
            <w:tcBorders>
              <w:top w:val="nil"/>
              <w:left w:val="nil"/>
              <w:bottom w:val="single" w:sz="4" w:space="0" w:color="auto"/>
              <w:right w:val="nil"/>
            </w:tcBorders>
            <w:shd w:val="clear" w:color="auto" w:fill="auto"/>
            <w:vAlign w:val="center"/>
          </w:tcPr>
          <w:p w14:paraId="3899A10D" w14:textId="5DDBBB44" w:rsidR="00C36C6B" w:rsidRPr="00C36C6B" w:rsidRDefault="00C36C6B" w:rsidP="00C36C6B">
            <w:pPr>
              <w:jc w:val="right"/>
              <w:rPr>
                <w:rFonts w:asciiTheme="minorHAnsi" w:hAnsiTheme="minorHAnsi" w:cstheme="minorHAnsi"/>
                <w:szCs w:val="20"/>
              </w:rPr>
            </w:pPr>
            <w:r w:rsidRPr="00C36C6B">
              <w:rPr>
                <w:rFonts w:asciiTheme="minorHAnsi" w:hAnsiTheme="minorHAnsi" w:cstheme="minorHAnsi"/>
                <w:b/>
                <w:bCs/>
                <w:szCs w:val="20"/>
              </w:rPr>
              <w:t xml:space="preserve">91 495 </w:t>
            </w:r>
          </w:p>
        </w:tc>
        <w:tc>
          <w:tcPr>
            <w:tcW w:w="539" w:type="pct"/>
            <w:tcBorders>
              <w:top w:val="nil"/>
              <w:left w:val="nil"/>
              <w:bottom w:val="single" w:sz="4" w:space="0" w:color="auto"/>
              <w:right w:val="nil"/>
            </w:tcBorders>
            <w:shd w:val="clear" w:color="auto" w:fill="auto"/>
            <w:vAlign w:val="center"/>
          </w:tcPr>
          <w:p w14:paraId="78C4407E" w14:textId="51AC018F" w:rsidR="00C36C6B" w:rsidRPr="00C36C6B" w:rsidRDefault="00C36C6B" w:rsidP="00C36C6B">
            <w:pPr>
              <w:jc w:val="right"/>
              <w:rPr>
                <w:rFonts w:asciiTheme="minorHAnsi" w:hAnsiTheme="minorHAnsi" w:cstheme="minorHAnsi"/>
                <w:szCs w:val="20"/>
              </w:rPr>
            </w:pPr>
            <w:r w:rsidRPr="00C36C6B">
              <w:rPr>
                <w:rFonts w:asciiTheme="minorHAnsi" w:hAnsiTheme="minorHAnsi" w:cstheme="minorHAnsi"/>
                <w:b/>
                <w:bCs/>
                <w:szCs w:val="20"/>
              </w:rPr>
              <w:t xml:space="preserve">6 496 </w:t>
            </w:r>
          </w:p>
        </w:tc>
        <w:tc>
          <w:tcPr>
            <w:tcW w:w="784" w:type="pct"/>
            <w:tcBorders>
              <w:top w:val="nil"/>
              <w:left w:val="nil"/>
              <w:bottom w:val="single" w:sz="4" w:space="0" w:color="auto"/>
              <w:right w:val="nil"/>
            </w:tcBorders>
            <w:shd w:val="clear" w:color="auto" w:fill="auto"/>
            <w:vAlign w:val="center"/>
          </w:tcPr>
          <w:p w14:paraId="1BEB1AA3" w14:textId="4EC4AD54" w:rsidR="00C36C6B" w:rsidRPr="00C36C6B" w:rsidRDefault="00C36C6B" w:rsidP="00C36C6B">
            <w:pPr>
              <w:jc w:val="right"/>
              <w:rPr>
                <w:rFonts w:asciiTheme="minorHAnsi" w:hAnsiTheme="minorHAnsi" w:cstheme="minorHAnsi"/>
                <w:szCs w:val="20"/>
              </w:rPr>
            </w:pPr>
            <w:r w:rsidRPr="00C36C6B">
              <w:rPr>
                <w:rFonts w:asciiTheme="minorHAnsi" w:hAnsiTheme="minorHAnsi" w:cstheme="minorHAnsi"/>
                <w:b/>
                <w:bCs/>
                <w:szCs w:val="20"/>
              </w:rPr>
              <w:t xml:space="preserve">6 215 </w:t>
            </w:r>
          </w:p>
        </w:tc>
        <w:tc>
          <w:tcPr>
            <w:tcW w:w="294" w:type="pct"/>
            <w:tcBorders>
              <w:top w:val="nil"/>
              <w:left w:val="nil"/>
              <w:bottom w:val="single" w:sz="4" w:space="0" w:color="auto"/>
              <w:right w:val="nil"/>
            </w:tcBorders>
            <w:shd w:val="clear" w:color="auto" w:fill="auto"/>
            <w:vAlign w:val="center"/>
          </w:tcPr>
          <w:p w14:paraId="2569923E" w14:textId="6A3A5C4F" w:rsidR="00C36C6B" w:rsidRPr="00C36C6B" w:rsidRDefault="00C36C6B" w:rsidP="00C36C6B">
            <w:pPr>
              <w:jc w:val="right"/>
              <w:rPr>
                <w:rFonts w:asciiTheme="minorHAnsi" w:hAnsiTheme="minorHAnsi" w:cstheme="minorHAnsi"/>
                <w:szCs w:val="20"/>
              </w:rPr>
            </w:pPr>
            <w:r w:rsidRPr="00C36C6B">
              <w:rPr>
                <w:rFonts w:asciiTheme="minorHAnsi" w:hAnsiTheme="minorHAnsi" w:cstheme="minorHAnsi"/>
                <w:b/>
                <w:bCs/>
                <w:szCs w:val="20"/>
              </w:rPr>
              <w:t xml:space="preserve">435 </w:t>
            </w:r>
          </w:p>
        </w:tc>
        <w:tc>
          <w:tcPr>
            <w:tcW w:w="392" w:type="pct"/>
            <w:tcBorders>
              <w:top w:val="nil"/>
              <w:left w:val="nil"/>
              <w:bottom w:val="single" w:sz="4" w:space="0" w:color="auto"/>
              <w:right w:val="nil"/>
            </w:tcBorders>
            <w:shd w:val="clear" w:color="auto" w:fill="auto"/>
            <w:vAlign w:val="bottom"/>
          </w:tcPr>
          <w:p w14:paraId="5E1C22BF" w14:textId="5BF43902" w:rsidR="00C36C6B" w:rsidRPr="00C36C6B" w:rsidRDefault="00C36C6B" w:rsidP="00C36C6B">
            <w:pPr>
              <w:jc w:val="right"/>
              <w:rPr>
                <w:rFonts w:asciiTheme="minorHAnsi" w:hAnsiTheme="minorHAnsi" w:cstheme="minorHAnsi"/>
                <w:b/>
                <w:bCs/>
                <w:szCs w:val="20"/>
              </w:rPr>
            </w:pPr>
            <w:r w:rsidRPr="00C36C6B">
              <w:rPr>
                <w:rFonts w:asciiTheme="minorHAnsi" w:hAnsiTheme="minorHAnsi" w:cstheme="minorHAnsi"/>
                <w:b/>
                <w:bCs/>
                <w:szCs w:val="20"/>
              </w:rPr>
              <w:t xml:space="preserve">255 931 </w:t>
            </w:r>
          </w:p>
        </w:tc>
      </w:tr>
    </w:tbl>
    <w:p w14:paraId="71DD2649" w14:textId="32C7D798" w:rsidR="004B749E" w:rsidRDefault="004B749E" w:rsidP="004220AB">
      <w:pPr>
        <w:rPr>
          <w:rFonts w:asciiTheme="minorHAnsi" w:hAnsiTheme="minorHAnsi" w:cstheme="minorHAnsi"/>
          <w:color w:val="000000" w:themeColor="text1"/>
          <w:szCs w:val="20"/>
        </w:rPr>
      </w:pPr>
    </w:p>
    <w:p w14:paraId="203D3207" w14:textId="15B6F44C" w:rsidR="004B749E" w:rsidRDefault="004B749E" w:rsidP="004B749E">
      <w:pPr>
        <w:tabs>
          <w:tab w:val="left" w:pos="3210"/>
        </w:tabs>
        <w:rPr>
          <w:rFonts w:asciiTheme="minorHAnsi" w:hAnsiTheme="minorHAnsi" w:cstheme="minorHAnsi"/>
          <w:szCs w:val="20"/>
        </w:rPr>
      </w:pPr>
    </w:p>
    <w:p w14:paraId="49E5666F" w14:textId="281E1674" w:rsidR="00920BA5" w:rsidRPr="004B749E" w:rsidRDefault="00920BA5" w:rsidP="004B749E">
      <w:pPr>
        <w:tabs>
          <w:tab w:val="left" w:pos="3210"/>
        </w:tabs>
        <w:rPr>
          <w:rFonts w:asciiTheme="minorHAnsi" w:hAnsiTheme="minorHAnsi" w:cstheme="minorHAnsi"/>
          <w:szCs w:val="20"/>
        </w:rPr>
        <w:sectPr w:rsidR="00920BA5" w:rsidRPr="004B749E" w:rsidSect="004220AB">
          <w:headerReference w:type="even" r:id="rId14"/>
          <w:headerReference w:type="default" r:id="rId15"/>
          <w:footerReference w:type="default" r:id="rId16"/>
          <w:headerReference w:type="first" r:id="rId17"/>
          <w:pgSz w:w="16838" w:h="11906" w:orient="landscape" w:code="9"/>
          <w:pgMar w:top="1134" w:right="851" w:bottom="1134" w:left="1418" w:header="567" w:footer="567" w:gutter="0"/>
          <w:cols w:space="708"/>
          <w:docGrid w:linePitch="360"/>
        </w:sectPr>
      </w:pPr>
    </w:p>
    <w:p w14:paraId="4C12A9BE" w14:textId="77777777" w:rsidR="00E80CD9" w:rsidRPr="003D6959" w:rsidRDefault="00462939" w:rsidP="0065373B">
      <w:pPr>
        <w:pStyle w:val="1"/>
        <w:rPr>
          <w:color w:val="000000" w:themeColor="text1"/>
          <w:szCs w:val="20"/>
        </w:rPr>
      </w:pPr>
      <w:bookmarkStart w:id="103" w:name="_Toc475007903"/>
      <w:bookmarkStart w:id="104" w:name="_Toc475522350"/>
      <w:bookmarkStart w:id="105" w:name="_Toc68253964"/>
      <w:r w:rsidRPr="003D6959">
        <w:rPr>
          <w:color w:val="000000" w:themeColor="text1"/>
          <w:szCs w:val="20"/>
        </w:rPr>
        <w:lastRenderedPageBreak/>
        <w:t>Нематеріальні активи</w:t>
      </w:r>
      <w:bookmarkEnd w:id="103"/>
      <w:bookmarkEnd w:id="104"/>
      <w:bookmarkEnd w:id="105"/>
    </w:p>
    <w:tbl>
      <w:tblPr>
        <w:tblW w:w="5000" w:type="pct"/>
        <w:tblLook w:val="00A0" w:firstRow="1" w:lastRow="0" w:firstColumn="1" w:lastColumn="0" w:noHBand="0" w:noVBand="0"/>
      </w:tblPr>
      <w:tblGrid>
        <w:gridCol w:w="5812"/>
        <w:gridCol w:w="1765"/>
        <w:gridCol w:w="2060"/>
      </w:tblGrid>
      <w:tr w:rsidR="003D6959" w:rsidRPr="003825A1" w14:paraId="155F4A9F" w14:textId="77777777" w:rsidTr="00260D4D">
        <w:trPr>
          <w:trHeight w:val="381"/>
          <w:tblHeader/>
        </w:trPr>
        <w:tc>
          <w:tcPr>
            <w:tcW w:w="3015" w:type="pct"/>
            <w:tcBorders>
              <w:left w:val="nil"/>
              <w:bottom w:val="single" w:sz="4" w:space="0" w:color="auto"/>
              <w:right w:val="nil"/>
            </w:tcBorders>
            <w:vAlign w:val="center"/>
          </w:tcPr>
          <w:p w14:paraId="0306B52B" w14:textId="6A39F82A" w:rsidR="002E6125" w:rsidRPr="003825A1" w:rsidRDefault="00260D4D" w:rsidP="00260D4D">
            <w:pPr>
              <w:jc w:val="left"/>
              <w:rPr>
                <w:rFonts w:asciiTheme="minorHAnsi" w:hAnsiTheme="minorHAnsi" w:cstheme="minorHAnsi"/>
                <w:b/>
                <w:bCs/>
                <w:color w:val="000000" w:themeColor="text1"/>
                <w:szCs w:val="20"/>
              </w:rPr>
            </w:pPr>
            <w:r w:rsidRPr="003825A1">
              <w:rPr>
                <w:rFonts w:asciiTheme="minorHAnsi" w:hAnsiTheme="minorHAnsi" w:cstheme="minorHAnsi"/>
                <w:b/>
                <w:bCs/>
                <w:color w:val="000000" w:themeColor="text1"/>
                <w:szCs w:val="20"/>
              </w:rPr>
              <w:t>11</w:t>
            </w:r>
            <w:r w:rsidR="002E6125" w:rsidRPr="003825A1">
              <w:rPr>
                <w:rFonts w:asciiTheme="minorHAnsi" w:hAnsiTheme="minorHAnsi" w:cstheme="minorHAnsi"/>
                <w:b/>
                <w:bCs/>
                <w:color w:val="000000" w:themeColor="text1"/>
                <w:szCs w:val="20"/>
              </w:rPr>
              <w:t xml:space="preserve">.1 Нематеріальні активи у Звіті про фінансовий </w:t>
            </w:r>
            <w:r w:rsidRPr="003825A1">
              <w:rPr>
                <w:rFonts w:asciiTheme="minorHAnsi" w:hAnsiTheme="minorHAnsi" w:cstheme="minorHAnsi"/>
                <w:b/>
                <w:bCs/>
                <w:color w:val="000000" w:themeColor="text1"/>
                <w:szCs w:val="20"/>
              </w:rPr>
              <w:t>стан</w:t>
            </w:r>
          </w:p>
        </w:tc>
        <w:tc>
          <w:tcPr>
            <w:tcW w:w="916" w:type="pct"/>
            <w:tcBorders>
              <w:left w:val="nil"/>
              <w:bottom w:val="single" w:sz="4" w:space="0" w:color="auto"/>
              <w:right w:val="nil"/>
            </w:tcBorders>
            <w:vAlign w:val="center"/>
          </w:tcPr>
          <w:p w14:paraId="3360EF9D" w14:textId="01773ECD" w:rsidR="002E6125" w:rsidRPr="003825A1" w:rsidRDefault="002E6125" w:rsidP="001D45CA">
            <w:pPr>
              <w:jc w:val="right"/>
              <w:rPr>
                <w:rFonts w:asciiTheme="minorHAnsi" w:hAnsiTheme="minorHAnsi" w:cstheme="minorHAnsi"/>
                <w:b/>
                <w:bCs/>
                <w:color w:val="000000" w:themeColor="text1"/>
                <w:szCs w:val="20"/>
              </w:rPr>
            </w:pPr>
            <w:r w:rsidRPr="003825A1">
              <w:rPr>
                <w:rFonts w:asciiTheme="minorHAnsi" w:hAnsiTheme="minorHAnsi" w:cstheme="minorHAnsi"/>
                <w:b/>
                <w:bCs/>
                <w:color w:val="000000" w:themeColor="text1"/>
                <w:szCs w:val="20"/>
              </w:rPr>
              <w:t>31.12.20</w:t>
            </w:r>
            <w:r w:rsidR="001D45CA" w:rsidRPr="003825A1">
              <w:rPr>
                <w:rFonts w:asciiTheme="minorHAnsi" w:hAnsiTheme="minorHAnsi" w:cstheme="minorHAnsi"/>
                <w:b/>
                <w:bCs/>
                <w:color w:val="000000" w:themeColor="text1"/>
                <w:szCs w:val="20"/>
              </w:rPr>
              <w:t>20</w:t>
            </w:r>
          </w:p>
        </w:tc>
        <w:tc>
          <w:tcPr>
            <w:tcW w:w="1069" w:type="pct"/>
            <w:tcBorders>
              <w:left w:val="nil"/>
              <w:bottom w:val="single" w:sz="4" w:space="0" w:color="auto"/>
              <w:right w:val="nil"/>
            </w:tcBorders>
            <w:noWrap/>
            <w:vAlign w:val="center"/>
          </w:tcPr>
          <w:p w14:paraId="28D52E55" w14:textId="2A797ABA" w:rsidR="002E6125" w:rsidRPr="003825A1" w:rsidRDefault="002E6125" w:rsidP="001D45CA">
            <w:pPr>
              <w:jc w:val="right"/>
              <w:rPr>
                <w:rFonts w:asciiTheme="minorHAnsi" w:hAnsiTheme="minorHAnsi" w:cstheme="minorHAnsi"/>
                <w:b/>
                <w:bCs/>
                <w:color w:val="000000" w:themeColor="text1"/>
                <w:szCs w:val="20"/>
              </w:rPr>
            </w:pPr>
            <w:r w:rsidRPr="003825A1">
              <w:rPr>
                <w:rFonts w:asciiTheme="minorHAnsi" w:hAnsiTheme="minorHAnsi" w:cstheme="minorHAnsi"/>
                <w:b/>
                <w:bCs/>
                <w:color w:val="000000" w:themeColor="text1"/>
                <w:szCs w:val="20"/>
              </w:rPr>
              <w:t>31.12.20</w:t>
            </w:r>
            <w:r w:rsidR="001D45CA" w:rsidRPr="003825A1">
              <w:rPr>
                <w:rFonts w:asciiTheme="minorHAnsi" w:hAnsiTheme="minorHAnsi" w:cstheme="minorHAnsi"/>
                <w:b/>
                <w:bCs/>
                <w:color w:val="000000" w:themeColor="text1"/>
                <w:szCs w:val="20"/>
              </w:rPr>
              <w:t>19</w:t>
            </w:r>
          </w:p>
        </w:tc>
      </w:tr>
      <w:tr w:rsidR="008B7BF3" w:rsidRPr="003825A1" w14:paraId="64686A95" w14:textId="77777777" w:rsidTr="00260D4D">
        <w:trPr>
          <w:trHeight w:val="255"/>
        </w:trPr>
        <w:tc>
          <w:tcPr>
            <w:tcW w:w="3015" w:type="pct"/>
            <w:tcBorders>
              <w:top w:val="nil"/>
              <w:left w:val="nil"/>
              <w:right w:val="nil"/>
            </w:tcBorders>
            <w:vAlign w:val="bottom"/>
          </w:tcPr>
          <w:p w14:paraId="03BE8424" w14:textId="4A104480" w:rsidR="008B7BF3" w:rsidRPr="003825A1" w:rsidRDefault="008B7BF3" w:rsidP="008B7BF3">
            <w:pPr>
              <w:jc w:val="left"/>
              <w:rPr>
                <w:rFonts w:asciiTheme="minorHAnsi" w:hAnsiTheme="minorHAnsi" w:cstheme="minorHAnsi"/>
                <w:color w:val="000000" w:themeColor="text1"/>
                <w:szCs w:val="20"/>
              </w:rPr>
            </w:pPr>
            <w:r w:rsidRPr="003825A1">
              <w:rPr>
                <w:rFonts w:asciiTheme="minorHAnsi" w:hAnsiTheme="minorHAnsi" w:cstheme="minorHAnsi"/>
                <w:color w:val="000000" w:themeColor="text1"/>
                <w:szCs w:val="20"/>
              </w:rPr>
              <w:t>Первісна вартість</w:t>
            </w:r>
          </w:p>
        </w:tc>
        <w:tc>
          <w:tcPr>
            <w:tcW w:w="916" w:type="pct"/>
            <w:tcBorders>
              <w:top w:val="nil"/>
              <w:left w:val="nil"/>
              <w:right w:val="nil"/>
            </w:tcBorders>
            <w:vAlign w:val="bottom"/>
          </w:tcPr>
          <w:p w14:paraId="3EE00C68" w14:textId="4AE6C34E" w:rsidR="008B7BF3" w:rsidRPr="003825A1" w:rsidRDefault="008B7BF3" w:rsidP="008B7BF3">
            <w:pPr>
              <w:jc w:val="right"/>
              <w:rPr>
                <w:rFonts w:asciiTheme="minorHAnsi" w:hAnsiTheme="minorHAnsi" w:cstheme="minorHAnsi"/>
                <w:color w:val="000000" w:themeColor="text1"/>
                <w:szCs w:val="20"/>
              </w:rPr>
            </w:pPr>
            <w:r>
              <w:rPr>
                <w:color w:val="000000" w:themeColor="text1"/>
                <w:szCs w:val="20"/>
                <w:lang w:val="ru-RU"/>
              </w:rPr>
              <w:t>84 222</w:t>
            </w:r>
            <w:r w:rsidRPr="003825A1">
              <w:rPr>
                <w:color w:val="000000" w:themeColor="text1"/>
                <w:szCs w:val="20"/>
              </w:rPr>
              <w:t xml:space="preserve"> </w:t>
            </w:r>
          </w:p>
        </w:tc>
        <w:tc>
          <w:tcPr>
            <w:tcW w:w="1069" w:type="pct"/>
            <w:tcBorders>
              <w:top w:val="nil"/>
              <w:left w:val="nil"/>
              <w:right w:val="nil"/>
            </w:tcBorders>
            <w:vAlign w:val="bottom"/>
          </w:tcPr>
          <w:p w14:paraId="3448B584" w14:textId="20591346" w:rsidR="008B7BF3" w:rsidRPr="003825A1" w:rsidRDefault="008B7BF3" w:rsidP="008B7BF3">
            <w:pPr>
              <w:jc w:val="right"/>
              <w:rPr>
                <w:rFonts w:asciiTheme="minorHAnsi" w:hAnsiTheme="minorHAnsi" w:cstheme="minorHAnsi"/>
                <w:color w:val="000000" w:themeColor="text1"/>
                <w:szCs w:val="20"/>
              </w:rPr>
            </w:pPr>
            <w:r>
              <w:rPr>
                <w:color w:val="000000" w:themeColor="text1"/>
                <w:szCs w:val="20"/>
                <w:lang w:val="ru-RU"/>
              </w:rPr>
              <w:t>65 482</w:t>
            </w:r>
            <w:r w:rsidRPr="003825A1">
              <w:rPr>
                <w:color w:val="000000" w:themeColor="text1"/>
                <w:szCs w:val="20"/>
              </w:rPr>
              <w:t xml:space="preserve"> </w:t>
            </w:r>
          </w:p>
        </w:tc>
      </w:tr>
      <w:tr w:rsidR="008B7BF3" w:rsidRPr="003825A1" w14:paraId="118421CF" w14:textId="77777777" w:rsidTr="00260D4D">
        <w:trPr>
          <w:trHeight w:val="255"/>
        </w:trPr>
        <w:tc>
          <w:tcPr>
            <w:tcW w:w="3015" w:type="pct"/>
            <w:tcBorders>
              <w:top w:val="nil"/>
              <w:left w:val="nil"/>
              <w:bottom w:val="single" w:sz="4" w:space="0" w:color="auto"/>
              <w:right w:val="nil"/>
            </w:tcBorders>
            <w:vAlign w:val="bottom"/>
          </w:tcPr>
          <w:p w14:paraId="14CDC9F9" w14:textId="77777777" w:rsidR="008B7BF3" w:rsidRPr="003825A1" w:rsidRDefault="008B7BF3" w:rsidP="008B7BF3">
            <w:pPr>
              <w:jc w:val="left"/>
              <w:rPr>
                <w:rFonts w:asciiTheme="minorHAnsi" w:hAnsiTheme="minorHAnsi" w:cstheme="minorHAnsi"/>
                <w:color w:val="000000" w:themeColor="text1"/>
                <w:szCs w:val="20"/>
              </w:rPr>
            </w:pPr>
            <w:r w:rsidRPr="003825A1">
              <w:rPr>
                <w:rFonts w:asciiTheme="minorHAnsi" w:hAnsiTheme="minorHAnsi" w:cstheme="minorHAnsi"/>
                <w:color w:val="000000" w:themeColor="text1"/>
                <w:szCs w:val="20"/>
              </w:rPr>
              <w:t>Накопичена амортизація</w:t>
            </w:r>
          </w:p>
        </w:tc>
        <w:tc>
          <w:tcPr>
            <w:tcW w:w="916" w:type="pct"/>
            <w:tcBorders>
              <w:top w:val="nil"/>
              <w:left w:val="nil"/>
              <w:bottom w:val="single" w:sz="4" w:space="0" w:color="auto"/>
              <w:right w:val="nil"/>
            </w:tcBorders>
            <w:vAlign w:val="bottom"/>
          </w:tcPr>
          <w:p w14:paraId="35CA01E4" w14:textId="416C0F59" w:rsidR="008B7BF3" w:rsidRPr="003825A1" w:rsidRDefault="008B7BF3" w:rsidP="008B7BF3">
            <w:pPr>
              <w:jc w:val="right"/>
              <w:rPr>
                <w:rFonts w:asciiTheme="minorHAnsi" w:hAnsiTheme="minorHAnsi" w:cstheme="minorHAnsi"/>
                <w:color w:val="000000" w:themeColor="text1"/>
                <w:szCs w:val="20"/>
              </w:rPr>
            </w:pPr>
            <w:r w:rsidRPr="003825A1">
              <w:rPr>
                <w:color w:val="000000" w:themeColor="text1"/>
                <w:szCs w:val="20"/>
              </w:rPr>
              <w:t>(</w:t>
            </w:r>
            <w:r>
              <w:rPr>
                <w:color w:val="000000" w:themeColor="text1"/>
                <w:szCs w:val="20"/>
                <w:lang w:val="ru-RU"/>
              </w:rPr>
              <w:t>41 061</w:t>
            </w:r>
            <w:r w:rsidRPr="003825A1">
              <w:rPr>
                <w:color w:val="000000" w:themeColor="text1"/>
                <w:szCs w:val="20"/>
              </w:rPr>
              <w:t>)</w:t>
            </w:r>
          </w:p>
        </w:tc>
        <w:tc>
          <w:tcPr>
            <w:tcW w:w="1069" w:type="pct"/>
            <w:tcBorders>
              <w:top w:val="nil"/>
              <w:left w:val="nil"/>
              <w:bottom w:val="single" w:sz="4" w:space="0" w:color="auto"/>
              <w:right w:val="nil"/>
            </w:tcBorders>
            <w:vAlign w:val="bottom"/>
          </w:tcPr>
          <w:p w14:paraId="21B756A8" w14:textId="359C94D7" w:rsidR="008B7BF3" w:rsidRPr="003825A1" w:rsidRDefault="008B7BF3" w:rsidP="008B7BF3">
            <w:pPr>
              <w:jc w:val="right"/>
              <w:rPr>
                <w:rFonts w:asciiTheme="minorHAnsi" w:hAnsiTheme="minorHAnsi" w:cstheme="minorHAnsi"/>
                <w:color w:val="000000" w:themeColor="text1"/>
                <w:szCs w:val="20"/>
              </w:rPr>
            </w:pPr>
            <w:r w:rsidRPr="003825A1">
              <w:rPr>
                <w:color w:val="000000" w:themeColor="text1"/>
                <w:szCs w:val="20"/>
              </w:rPr>
              <w:t>(</w:t>
            </w:r>
            <w:r>
              <w:rPr>
                <w:color w:val="000000" w:themeColor="text1"/>
                <w:szCs w:val="20"/>
                <w:lang w:val="ru-RU"/>
              </w:rPr>
              <w:t>22 615</w:t>
            </w:r>
            <w:r w:rsidRPr="003825A1">
              <w:rPr>
                <w:color w:val="000000" w:themeColor="text1"/>
                <w:szCs w:val="20"/>
              </w:rPr>
              <w:t>)</w:t>
            </w:r>
          </w:p>
        </w:tc>
      </w:tr>
      <w:tr w:rsidR="008B7BF3" w:rsidRPr="003825A1" w14:paraId="7A5C8910" w14:textId="77777777" w:rsidTr="00260D4D">
        <w:trPr>
          <w:trHeight w:val="255"/>
        </w:trPr>
        <w:tc>
          <w:tcPr>
            <w:tcW w:w="3015" w:type="pct"/>
            <w:tcBorders>
              <w:top w:val="single" w:sz="4" w:space="0" w:color="auto"/>
              <w:left w:val="nil"/>
              <w:right w:val="nil"/>
            </w:tcBorders>
            <w:noWrap/>
            <w:vAlign w:val="bottom"/>
          </w:tcPr>
          <w:p w14:paraId="1511AD36" w14:textId="77777777" w:rsidR="008B7BF3" w:rsidRPr="003825A1" w:rsidRDefault="008B7BF3" w:rsidP="008B7BF3">
            <w:pPr>
              <w:jc w:val="left"/>
              <w:rPr>
                <w:rFonts w:asciiTheme="minorHAnsi" w:hAnsiTheme="minorHAnsi" w:cstheme="minorHAnsi"/>
                <w:b/>
                <w:bCs/>
                <w:color w:val="000000" w:themeColor="text1"/>
                <w:szCs w:val="20"/>
              </w:rPr>
            </w:pPr>
            <w:r w:rsidRPr="003825A1">
              <w:rPr>
                <w:rFonts w:asciiTheme="minorHAnsi" w:hAnsiTheme="minorHAnsi" w:cstheme="minorHAnsi"/>
                <w:b/>
                <w:bCs/>
                <w:color w:val="000000" w:themeColor="text1"/>
                <w:szCs w:val="20"/>
              </w:rPr>
              <w:t>Чиста балансова вартість</w:t>
            </w:r>
          </w:p>
        </w:tc>
        <w:tc>
          <w:tcPr>
            <w:tcW w:w="916" w:type="pct"/>
            <w:tcBorders>
              <w:top w:val="single" w:sz="4" w:space="0" w:color="auto"/>
              <w:left w:val="nil"/>
              <w:right w:val="nil"/>
            </w:tcBorders>
            <w:vAlign w:val="bottom"/>
          </w:tcPr>
          <w:p w14:paraId="622EAE22" w14:textId="2C2EA5D5" w:rsidR="008B7BF3" w:rsidRPr="003825A1" w:rsidRDefault="008B7BF3" w:rsidP="008B7BF3">
            <w:pPr>
              <w:jc w:val="right"/>
              <w:rPr>
                <w:rFonts w:asciiTheme="minorHAnsi" w:hAnsiTheme="minorHAnsi" w:cstheme="minorHAnsi"/>
                <w:b/>
                <w:bCs/>
                <w:color w:val="000000" w:themeColor="text1"/>
                <w:szCs w:val="20"/>
              </w:rPr>
            </w:pPr>
            <w:r>
              <w:rPr>
                <w:b/>
                <w:bCs/>
                <w:color w:val="000000" w:themeColor="text1"/>
                <w:szCs w:val="20"/>
                <w:lang w:val="ru-RU"/>
              </w:rPr>
              <w:t>43 161</w:t>
            </w:r>
            <w:r w:rsidRPr="003825A1">
              <w:rPr>
                <w:b/>
                <w:bCs/>
                <w:color w:val="000000" w:themeColor="text1"/>
                <w:szCs w:val="20"/>
              </w:rPr>
              <w:t xml:space="preserve"> </w:t>
            </w:r>
          </w:p>
        </w:tc>
        <w:tc>
          <w:tcPr>
            <w:tcW w:w="1069" w:type="pct"/>
            <w:tcBorders>
              <w:top w:val="single" w:sz="4" w:space="0" w:color="auto"/>
              <w:left w:val="nil"/>
              <w:right w:val="nil"/>
            </w:tcBorders>
            <w:vAlign w:val="bottom"/>
          </w:tcPr>
          <w:p w14:paraId="33DB2D10" w14:textId="43DE4B3E" w:rsidR="008B7BF3" w:rsidRPr="003825A1" w:rsidRDefault="008B7BF3" w:rsidP="008B7BF3">
            <w:pPr>
              <w:jc w:val="right"/>
              <w:rPr>
                <w:rFonts w:asciiTheme="minorHAnsi" w:hAnsiTheme="minorHAnsi" w:cstheme="minorHAnsi"/>
                <w:b/>
                <w:bCs/>
                <w:color w:val="000000" w:themeColor="text1"/>
                <w:szCs w:val="20"/>
              </w:rPr>
            </w:pPr>
            <w:r>
              <w:rPr>
                <w:b/>
                <w:bCs/>
                <w:color w:val="000000" w:themeColor="text1"/>
                <w:szCs w:val="20"/>
                <w:lang w:val="ru-RU"/>
              </w:rPr>
              <w:t>42 867</w:t>
            </w:r>
            <w:r w:rsidRPr="003825A1">
              <w:rPr>
                <w:b/>
                <w:bCs/>
                <w:color w:val="000000" w:themeColor="text1"/>
                <w:szCs w:val="20"/>
              </w:rPr>
              <w:t xml:space="preserve"> </w:t>
            </w:r>
          </w:p>
        </w:tc>
      </w:tr>
      <w:tr w:rsidR="001D45CA" w:rsidRPr="003825A1" w14:paraId="5195F711" w14:textId="77777777" w:rsidTr="00260D4D">
        <w:trPr>
          <w:trHeight w:val="255"/>
        </w:trPr>
        <w:tc>
          <w:tcPr>
            <w:tcW w:w="3015" w:type="pct"/>
            <w:tcBorders>
              <w:left w:val="nil"/>
              <w:right w:val="nil"/>
            </w:tcBorders>
            <w:vAlign w:val="bottom"/>
          </w:tcPr>
          <w:p w14:paraId="4B032B3D" w14:textId="77777777" w:rsidR="001D45CA" w:rsidRPr="003825A1" w:rsidRDefault="001D45CA" w:rsidP="001D45CA">
            <w:pPr>
              <w:jc w:val="left"/>
              <w:rPr>
                <w:rFonts w:asciiTheme="minorHAnsi" w:hAnsiTheme="minorHAnsi" w:cstheme="minorHAnsi"/>
                <w:color w:val="000000" w:themeColor="text1"/>
                <w:szCs w:val="20"/>
              </w:rPr>
            </w:pPr>
          </w:p>
        </w:tc>
        <w:tc>
          <w:tcPr>
            <w:tcW w:w="916" w:type="pct"/>
            <w:tcBorders>
              <w:left w:val="nil"/>
              <w:right w:val="nil"/>
            </w:tcBorders>
            <w:vAlign w:val="bottom"/>
          </w:tcPr>
          <w:p w14:paraId="539EA9E3" w14:textId="77777777" w:rsidR="001D45CA" w:rsidRPr="003825A1" w:rsidRDefault="001D45CA" w:rsidP="001D45CA">
            <w:pPr>
              <w:jc w:val="right"/>
              <w:rPr>
                <w:rFonts w:asciiTheme="minorHAnsi" w:hAnsiTheme="minorHAnsi" w:cstheme="minorHAnsi"/>
                <w:color w:val="000000" w:themeColor="text1"/>
                <w:szCs w:val="20"/>
              </w:rPr>
            </w:pPr>
          </w:p>
        </w:tc>
        <w:tc>
          <w:tcPr>
            <w:tcW w:w="1069" w:type="pct"/>
            <w:tcBorders>
              <w:left w:val="nil"/>
              <w:right w:val="nil"/>
            </w:tcBorders>
            <w:vAlign w:val="bottom"/>
          </w:tcPr>
          <w:p w14:paraId="08E8446E" w14:textId="77777777" w:rsidR="001D45CA" w:rsidRPr="003825A1" w:rsidRDefault="001D45CA" w:rsidP="001D45CA">
            <w:pPr>
              <w:jc w:val="right"/>
              <w:rPr>
                <w:rFonts w:asciiTheme="minorHAnsi" w:hAnsiTheme="minorHAnsi" w:cstheme="minorHAnsi"/>
                <w:color w:val="000000" w:themeColor="text1"/>
                <w:szCs w:val="20"/>
              </w:rPr>
            </w:pPr>
          </w:p>
        </w:tc>
      </w:tr>
      <w:tr w:rsidR="001D45CA" w:rsidRPr="003825A1" w14:paraId="78D18346" w14:textId="77777777" w:rsidTr="00260D4D">
        <w:trPr>
          <w:trHeight w:val="255"/>
        </w:trPr>
        <w:tc>
          <w:tcPr>
            <w:tcW w:w="3015" w:type="pct"/>
            <w:tcBorders>
              <w:left w:val="nil"/>
              <w:right w:val="nil"/>
            </w:tcBorders>
            <w:vAlign w:val="bottom"/>
          </w:tcPr>
          <w:p w14:paraId="01342F7B" w14:textId="77777777" w:rsidR="001D45CA" w:rsidRPr="003825A1" w:rsidRDefault="001D45CA" w:rsidP="001D45CA">
            <w:pPr>
              <w:jc w:val="left"/>
              <w:rPr>
                <w:rFonts w:asciiTheme="minorHAnsi" w:hAnsiTheme="minorHAnsi" w:cstheme="minorHAnsi"/>
                <w:color w:val="000000" w:themeColor="text1"/>
                <w:szCs w:val="20"/>
              </w:rPr>
            </w:pPr>
            <w:r w:rsidRPr="003825A1">
              <w:rPr>
                <w:rFonts w:asciiTheme="minorHAnsi" w:hAnsiTheme="minorHAnsi" w:cstheme="minorHAnsi"/>
                <w:color w:val="000000" w:themeColor="text1"/>
                <w:szCs w:val="20"/>
              </w:rPr>
              <w:t>Нематеріальні активи у процесі розробки</w:t>
            </w:r>
          </w:p>
        </w:tc>
        <w:tc>
          <w:tcPr>
            <w:tcW w:w="916" w:type="pct"/>
            <w:tcBorders>
              <w:left w:val="nil"/>
              <w:right w:val="nil"/>
            </w:tcBorders>
            <w:vAlign w:val="bottom"/>
          </w:tcPr>
          <w:p w14:paraId="4A0E2F2A" w14:textId="4E796AD7" w:rsidR="001D45CA" w:rsidRPr="0083441E" w:rsidRDefault="003825A1" w:rsidP="00363B9D">
            <w:pPr>
              <w:jc w:val="right"/>
              <w:rPr>
                <w:rFonts w:asciiTheme="minorHAnsi" w:hAnsiTheme="minorHAnsi" w:cstheme="minorHAnsi"/>
                <w:color w:val="000000" w:themeColor="text1"/>
                <w:szCs w:val="20"/>
              </w:rPr>
            </w:pPr>
            <w:r w:rsidRPr="0083441E">
              <w:rPr>
                <w:color w:val="000000" w:themeColor="text1"/>
                <w:szCs w:val="20"/>
              </w:rPr>
              <w:t>1</w:t>
            </w:r>
            <w:r w:rsidR="00363B9D" w:rsidRPr="0083441E">
              <w:rPr>
                <w:color w:val="000000" w:themeColor="text1"/>
                <w:szCs w:val="20"/>
              </w:rPr>
              <w:t>3</w:t>
            </w:r>
            <w:r w:rsidR="001D45CA" w:rsidRPr="0083441E">
              <w:rPr>
                <w:color w:val="000000" w:themeColor="text1"/>
                <w:szCs w:val="20"/>
              </w:rPr>
              <w:t xml:space="preserve"> </w:t>
            </w:r>
          </w:p>
        </w:tc>
        <w:tc>
          <w:tcPr>
            <w:tcW w:w="1069" w:type="pct"/>
            <w:tcBorders>
              <w:left w:val="nil"/>
              <w:right w:val="nil"/>
            </w:tcBorders>
            <w:vAlign w:val="bottom"/>
          </w:tcPr>
          <w:p w14:paraId="1D3441EB" w14:textId="22C74AFF" w:rsidR="001D45CA" w:rsidRPr="003825A1" w:rsidRDefault="001D45CA" w:rsidP="001D45CA">
            <w:pPr>
              <w:jc w:val="right"/>
              <w:rPr>
                <w:rFonts w:asciiTheme="minorHAnsi" w:hAnsiTheme="minorHAnsi" w:cstheme="minorHAnsi"/>
                <w:color w:val="000000" w:themeColor="text1"/>
                <w:szCs w:val="20"/>
              </w:rPr>
            </w:pPr>
            <w:r w:rsidRPr="003825A1">
              <w:rPr>
                <w:color w:val="000000" w:themeColor="text1"/>
                <w:szCs w:val="20"/>
              </w:rPr>
              <w:t xml:space="preserve">46 </w:t>
            </w:r>
          </w:p>
        </w:tc>
      </w:tr>
      <w:tr w:rsidR="001D45CA" w:rsidRPr="003825A1" w14:paraId="62D34A62" w14:textId="77777777" w:rsidTr="00260D4D">
        <w:trPr>
          <w:trHeight w:val="255"/>
        </w:trPr>
        <w:tc>
          <w:tcPr>
            <w:tcW w:w="3015" w:type="pct"/>
            <w:tcBorders>
              <w:top w:val="nil"/>
              <w:left w:val="nil"/>
              <w:right w:val="nil"/>
            </w:tcBorders>
            <w:vAlign w:val="bottom"/>
          </w:tcPr>
          <w:p w14:paraId="488673CF" w14:textId="77777777" w:rsidR="001D45CA" w:rsidRPr="003825A1" w:rsidRDefault="001D45CA" w:rsidP="001D45CA">
            <w:pPr>
              <w:jc w:val="left"/>
              <w:rPr>
                <w:rFonts w:asciiTheme="minorHAnsi" w:hAnsiTheme="minorHAnsi" w:cstheme="minorHAnsi"/>
                <w:color w:val="000000" w:themeColor="text1"/>
                <w:szCs w:val="20"/>
              </w:rPr>
            </w:pPr>
            <w:r w:rsidRPr="003825A1">
              <w:rPr>
                <w:rFonts w:asciiTheme="minorHAnsi" w:hAnsiTheme="minorHAnsi" w:cstheme="minorHAnsi"/>
                <w:color w:val="000000" w:themeColor="text1"/>
                <w:szCs w:val="20"/>
              </w:rPr>
              <w:t xml:space="preserve">Права на об’єкти промислової власності </w:t>
            </w:r>
          </w:p>
        </w:tc>
        <w:tc>
          <w:tcPr>
            <w:tcW w:w="916" w:type="pct"/>
            <w:tcBorders>
              <w:top w:val="nil"/>
              <w:left w:val="nil"/>
              <w:right w:val="nil"/>
            </w:tcBorders>
            <w:vAlign w:val="bottom"/>
          </w:tcPr>
          <w:p w14:paraId="6915AA62" w14:textId="53249B93" w:rsidR="001D45CA" w:rsidRPr="0083441E" w:rsidRDefault="003825A1" w:rsidP="001D45CA">
            <w:pPr>
              <w:jc w:val="right"/>
              <w:rPr>
                <w:rFonts w:asciiTheme="minorHAnsi" w:hAnsiTheme="minorHAnsi" w:cstheme="minorHAnsi"/>
                <w:color w:val="000000" w:themeColor="text1"/>
                <w:szCs w:val="20"/>
              </w:rPr>
            </w:pPr>
            <w:r w:rsidRPr="0083441E">
              <w:rPr>
                <w:color w:val="000000" w:themeColor="text1"/>
                <w:szCs w:val="20"/>
              </w:rPr>
              <w:t>774</w:t>
            </w:r>
            <w:r w:rsidR="001D45CA" w:rsidRPr="0083441E">
              <w:rPr>
                <w:color w:val="000000" w:themeColor="text1"/>
                <w:szCs w:val="20"/>
              </w:rPr>
              <w:t xml:space="preserve"> </w:t>
            </w:r>
          </w:p>
        </w:tc>
        <w:tc>
          <w:tcPr>
            <w:tcW w:w="1069" w:type="pct"/>
            <w:tcBorders>
              <w:top w:val="nil"/>
              <w:left w:val="nil"/>
              <w:right w:val="nil"/>
            </w:tcBorders>
            <w:vAlign w:val="bottom"/>
          </w:tcPr>
          <w:p w14:paraId="7F3657CD" w14:textId="363E2E78" w:rsidR="001D45CA" w:rsidRPr="003825A1" w:rsidRDefault="001D45CA" w:rsidP="001D45CA">
            <w:pPr>
              <w:jc w:val="right"/>
              <w:rPr>
                <w:rFonts w:asciiTheme="minorHAnsi" w:hAnsiTheme="minorHAnsi" w:cstheme="minorHAnsi"/>
                <w:color w:val="000000" w:themeColor="text1"/>
                <w:szCs w:val="20"/>
              </w:rPr>
            </w:pPr>
            <w:r w:rsidRPr="003825A1">
              <w:rPr>
                <w:color w:val="000000" w:themeColor="text1"/>
                <w:szCs w:val="20"/>
              </w:rPr>
              <w:t xml:space="preserve">882 </w:t>
            </w:r>
          </w:p>
        </w:tc>
      </w:tr>
      <w:tr w:rsidR="001D45CA" w:rsidRPr="003825A1" w14:paraId="270A3863" w14:textId="77777777" w:rsidTr="00260D4D">
        <w:trPr>
          <w:trHeight w:val="255"/>
        </w:trPr>
        <w:tc>
          <w:tcPr>
            <w:tcW w:w="3015" w:type="pct"/>
            <w:tcBorders>
              <w:top w:val="nil"/>
              <w:left w:val="nil"/>
              <w:right w:val="nil"/>
            </w:tcBorders>
            <w:vAlign w:val="bottom"/>
          </w:tcPr>
          <w:p w14:paraId="5ED975A1" w14:textId="77777777" w:rsidR="001D45CA" w:rsidRPr="003825A1" w:rsidRDefault="001D45CA" w:rsidP="001D45CA">
            <w:pPr>
              <w:jc w:val="left"/>
              <w:rPr>
                <w:rFonts w:asciiTheme="minorHAnsi" w:hAnsiTheme="minorHAnsi" w:cstheme="minorHAnsi"/>
                <w:color w:val="000000" w:themeColor="text1"/>
                <w:szCs w:val="20"/>
              </w:rPr>
            </w:pPr>
            <w:r w:rsidRPr="003825A1">
              <w:rPr>
                <w:rFonts w:asciiTheme="minorHAnsi" w:hAnsiTheme="minorHAnsi" w:cstheme="minorHAnsi"/>
                <w:color w:val="000000" w:themeColor="text1"/>
                <w:szCs w:val="20"/>
              </w:rPr>
              <w:t>Авторські та суміжні права</w:t>
            </w:r>
          </w:p>
        </w:tc>
        <w:tc>
          <w:tcPr>
            <w:tcW w:w="916" w:type="pct"/>
            <w:tcBorders>
              <w:top w:val="nil"/>
              <w:left w:val="nil"/>
              <w:right w:val="nil"/>
            </w:tcBorders>
            <w:vAlign w:val="bottom"/>
          </w:tcPr>
          <w:p w14:paraId="57828E22" w14:textId="0460D940" w:rsidR="001D45CA" w:rsidRPr="0083441E" w:rsidRDefault="003825A1" w:rsidP="00363B9D">
            <w:pPr>
              <w:jc w:val="right"/>
              <w:rPr>
                <w:rFonts w:asciiTheme="minorHAnsi" w:hAnsiTheme="minorHAnsi" w:cstheme="minorHAnsi"/>
                <w:color w:val="000000" w:themeColor="text1"/>
                <w:szCs w:val="20"/>
              </w:rPr>
            </w:pPr>
            <w:r w:rsidRPr="0083441E">
              <w:rPr>
                <w:color w:val="000000" w:themeColor="text1"/>
                <w:szCs w:val="20"/>
              </w:rPr>
              <w:t>79</w:t>
            </w:r>
            <w:r w:rsidR="00363B9D" w:rsidRPr="0083441E">
              <w:rPr>
                <w:color w:val="000000" w:themeColor="text1"/>
                <w:szCs w:val="20"/>
              </w:rPr>
              <w:t>4</w:t>
            </w:r>
            <w:r w:rsidR="001D45CA" w:rsidRPr="0083441E">
              <w:rPr>
                <w:color w:val="000000" w:themeColor="text1"/>
                <w:szCs w:val="20"/>
              </w:rPr>
              <w:t xml:space="preserve"> </w:t>
            </w:r>
          </w:p>
        </w:tc>
        <w:tc>
          <w:tcPr>
            <w:tcW w:w="1069" w:type="pct"/>
            <w:tcBorders>
              <w:top w:val="nil"/>
              <w:left w:val="nil"/>
              <w:right w:val="nil"/>
            </w:tcBorders>
            <w:vAlign w:val="bottom"/>
          </w:tcPr>
          <w:p w14:paraId="469396BA" w14:textId="57EDE78F" w:rsidR="001D45CA" w:rsidRPr="003825A1" w:rsidRDefault="001D45CA" w:rsidP="001D45CA">
            <w:pPr>
              <w:jc w:val="right"/>
              <w:rPr>
                <w:rFonts w:asciiTheme="minorHAnsi" w:hAnsiTheme="minorHAnsi" w:cstheme="minorHAnsi"/>
                <w:color w:val="000000" w:themeColor="text1"/>
                <w:szCs w:val="20"/>
              </w:rPr>
            </w:pPr>
            <w:r w:rsidRPr="003825A1">
              <w:rPr>
                <w:color w:val="000000" w:themeColor="text1"/>
                <w:szCs w:val="20"/>
              </w:rPr>
              <w:t xml:space="preserve">660 </w:t>
            </w:r>
          </w:p>
        </w:tc>
      </w:tr>
      <w:tr w:rsidR="00E6006C" w:rsidRPr="003825A1" w14:paraId="0A46DA94" w14:textId="77777777" w:rsidTr="00260D4D">
        <w:trPr>
          <w:trHeight w:val="255"/>
        </w:trPr>
        <w:tc>
          <w:tcPr>
            <w:tcW w:w="3015" w:type="pct"/>
            <w:tcBorders>
              <w:top w:val="nil"/>
              <w:left w:val="nil"/>
              <w:right w:val="nil"/>
            </w:tcBorders>
            <w:vAlign w:val="bottom"/>
          </w:tcPr>
          <w:p w14:paraId="36BF525A" w14:textId="3C635501" w:rsidR="00E6006C" w:rsidRPr="003825A1" w:rsidRDefault="00E6006C" w:rsidP="00E6006C">
            <w:pPr>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 xml:space="preserve">Активи з права користування </w:t>
            </w:r>
          </w:p>
        </w:tc>
        <w:tc>
          <w:tcPr>
            <w:tcW w:w="916" w:type="pct"/>
            <w:tcBorders>
              <w:top w:val="nil"/>
              <w:left w:val="nil"/>
              <w:right w:val="nil"/>
            </w:tcBorders>
            <w:vAlign w:val="bottom"/>
          </w:tcPr>
          <w:p w14:paraId="64C7136C" w14:textId="282B8852" w:rsidR="00E6006C" w:rsidRPr="00E6006C" w:rsidRDefault="00E6006C" w:rsidP="00E6006C">
            <w:pPr>
              <w:jc w:val="right"/>
              <w:rPr>
                <w:color w:val="000000" w:themeColor="text1"/>
                <w:szCs w:val="20"/>
                <w:lang w:val="ru-RU"/>
              </w:rPr>
            </w:pPr>
            <w:r>
              <w:rPr>
                <w:color w:val="000000" w:themeColor="text1"/>
                <w:szCs w:val="20"/>
                <w:lang w:val="ru-RU"/>
              </w:rPr>
              <w:t>41 580</w:t>
            </w:r>
          </w:p>
        </w:tc>
        <w:tc>
          <w:tcPr>
            <w:tcW w:w="1069" w:type="pct"/>
            <w:tcBorders>
              <w:top w:val="nil"/>
              <w:left w:val="nil"/>
              <w:right w:val="nil"/>
            </w:tcBorders>
            <w:vAlign w:val="bottom"/>
          </w:tcPr>
          <w:p w14:paraId="4440F013" w14:textId="32A24686" w:rsidR="00E6006C" w:rsidRPr="00E6006C" w:rsidRDefault="00E6006C" w:rsidP="00E6006C">
            <w:pPr>
              <w:jc w:val="right"/>
              <w:rPr>
                <w:color w:val="000000" w:themeColor="text1"/>
                <w:szCs w:val="20"/>
                <w:lang w:val="ru-RU"/>
              </w:rPr>
            </w:pPr>
            <w:r>
              <w:rPr>
                <w:color w:val="000000" w:themeColor="text1"/>
                <w:szCs w:val="20"/>
                <w:lang w:val="ru-RU"/>
              </w:rPr>
              <w:t>41 279</w:t>
            </w:r>
          </w:p>
        </w:tc>
      </w:tr>
      <w:tr w:rsidR="00E6006C" w:rsidRPr="003825A1" w14:paraId="3FB761CD" w14:textId="77777777" w:rsidTr="00260D4D">
        <w:trPr>
          <w:trHeight w:val="255"/>
        </w:trPr>
        <w:tc>
          <w:tcPr>
            <w:tcW w:w="3015" w:type="pct"/>
            <w:tcBorders>
              <w:top w:val="single" w:sz="4" w:space="0" w:color="auto"/>
              <w:left w:val="nil"/>
              <w:right w:val="nil"/>
            </w:tcBorders>
            <w:noWrap/>
            <w:vAlign w:val="bottom"/>
          </w:tcPr>
          <w:p w14:paraId="0211C300" w14:textId="77777777" w:rsidR="00E6006C" w:rsidRPr="003825A1" w:rsidRDefault="00E6006C" w:rsidP="00E6006C">
            <w:pPr>
              <w:jc w:val="left"/>
              <w:rPr>
                <w:rFonts w:asciiTheme="minorHAnsi" w:hAnsiTheme="minorHAnsi" w:cstheme="minorHAnsi"/>
                <w:b/>
                <w:bCs/>
                <w:color w:val="000000" w:themeColor="text1"/>
                <w:szCs w:val="20"/>
              </w:rPr>
            </w:pPr>
            <w:r w:rsidRPr="003825A1">
              <w:rPr>
                <w:rFonts w:asciiTheme="minorHAnsi" w:hAnsiTheme="minorHAnsi" w:cstheme="minorHAnsi"/>
                <w:b/>
                <w:bCs/>
                <w:color w:val="000000" w:themeColor="text1"/>
                <w:szCs w:val="20"/>
              </w:rPr>
              <w:t>Чиста балансова вартість</w:t>
            </w:r>
          </w:p>
        </w:tc>
        <w:tc>
          <w:tcPr>
            <w:tcW w:w="916" w:type="pct"/>
            <w:tcBorders>
              <w:top w:val="single" w:sz="4" w:space="0" w:color="auto"/>
              <w:left w:val="nil"/>
              <w:right w:val="nil"/>
            </w:tcBorders>
            <w:vAlign w:val="bottom"/>
          </w:tcPr>
          <w:p w14:paraId="7E728394" w14:textId="64E56C68" w:rsidR="00E6006C" w:rsidRPr="003825A1" w:rsidRDefault="008B7BF3" w:rsidP="00E6006C">
            <w:pPr>
              <w:jc w:val="right"/>
              <w:rPr>
                <w:rFonts w:asciiTheme="minorHAnsi" w:hAnsiTheme="minorHAnsi" w:cstheme="minorHAnsi"/>
                <w:b/>
                <w:bCs/>
                <w:color w:val="000000" w:themeColor="text1"/>
                <w:szCs w:val="20"/>
              </w:rPr>
            </w:pPr>
            <w:r>
              <w:rPr>
                <w:b/>
                <w:bCs/>
                <w:color w:val="000000" w:themeColor="text1"/>
                <w:szCs w:val="20"/>
                <w:lang w:val="ru-RU"/>
              </w:rPr>
              <w:t>43 161</w:t>
            </w:r>
            <w:r w:rsidR="00E6006C" w:rsidRPr="003825A1">
              <w:rPr>
                <w:b/>
                <w:bCs/>
                <w:color w:val="000000" w:themeColor="text1"/>
                <w:szCs w:val="20"/>
              </w:rPr>
              <w:t xml:space="preserve"> </w:t>
            </w:r>
          </w:p>
        </w:tc>
        <w:tc>
          <w:tcPr>
            <w:tcW w:w="1069" w:type="pct"/>
            <w:tcBorders>
              <w:top w:val="single" w:sz="4" w:space="0" w:color="auto"/>
              <w:left w:val="nil"/>
              <w:right w:val="nil"/>
            </w:tcBorders>
            <w:vAlign w:val="bottom"/>
          </w:tcPr>
          <w:p w14:paraId="0A2EC7E5" w14:textId="15A03C5D" w:rsidR="00E6006C" w:rsidRPr="003825A1" w:rsidRDefault="008B7BF3" w:rsidP="00E6006C">
            <w:pPr>
              <w:jc w:val="right"/>
              <w:rPr>
                <w:rFonts w:asciiTheme="minorHAnsi" w:hAnsiTheme="minorHAnsi" w:cstheme="minorHAnsi"/>
                <w:b/>
                <w:bCs/>
                <w:color w:val="000000" w:themeColor="text1"/>
                <w:szCs w:val="20"/>
              </w:rPr>
            </w:pPr>
            <w:r>
              <w:rPr>
                <w:b/>
                <w:bCs/>
                <w:color w:val="000000" w:themeColor="text1"/>
                <w:szCs w:val="20"/>
                <w:lang w:val="ru-RU"/>
              </w:rPr>
              <w:t>42 867</w:t>
            </w:r>
            <w:r w:rsidR="00E6006C" w:rsidRPr="003825A1">
              <w:rPr>
                <w:b/>
                <w:bCs/>
                <w:color w:val="000000" w:themeColor="text1"/>
                <w:szCs w:val="20"/>
              </w:rPr>
              <w:t xml:space="preserve"> </w:t>
            </w:r>
          </w:p>
        </w:tc>
      </w:tr>
    </w:tbl>
    <w:p w14:paraId="792FC57E" w14:textId="14ED5E8E" w:rsidR="00D7008C" w:rsidRPr="003D6959" w:rsidRDefault="00D7008C" w:rsidP="00370331">
      <w:pPr>
        <w:pStyle w:val="af7"/>
        <w:spacing w:before="240"/>
        <w:rPr>
          <w:rFonts w:asciiTheme="minorHAnsi" w:hAnsiTheme="minorHAnsi" w:cstheme="minorHAnsi"/>
          <w:color w:val="000000" w:themeColor="text1"/>
          <w:szCs w:val="20"/>
        </w:rPr>
      </w:pPr>
      <w:r w:rsidRPr="003825A1">
        <w:rPr>
          <w:rFonts w:asciiTheme="minorHAnsi" w:hAnsiTheme="minorHAnsi" w:cstheme="minorHAnsi"/>
          <w:color w:val="000000" w:themeColor="text1"/>
          <w:szCs w:val="20"/>
        </w:rPr>
        <w:t>Придбані нематеріальні активи Компанія враховує за собівартістю. Подальша оцінка нематеріальних активів зді</w:t>
      </w:r>
      <w:r w:rsidR="003D6959" w:rsidRPr="003825A1">
        <w:rPr>
          <w:rFonts w:asciiTheme="minorHAnsi" w:hAnsiTheme="minorHAnsi" w:cstheme="minorHAnsi"/>
          <w:color w:val="000000" w:themeColor="text1"/>
          <w:szCs w:val="20"/>
        </w:rPr>
        <w:t>йснюється відповідно до МСБО 38 </w:t>
      </w:r>
      <w:r w:rsidRPr="003825A1">
        <w:rPr>
          <w:rFonts w:asciiTheme="minorHAnsi" w:hAnsiTheme="minorHAnsi" w:cstheme="minorHAnsi"/>
          <w:color w:val="000000" w:themeColor="text1"/>
          <w:szCs w:val="20"/>
        </w:rPr>
        <w:t xml:space="preserve">«Нематеріальні активи» </w:t>
      </w:r>
      <w:r w:rsidRPr="003D6959">
        <w:rPr>
          <w:rFonts w:asciiTheme="minorHAnsi" w:hAnsiTheme="minorHAnsi" w:cstheme="minorHAnsi"/>
          <w:color w:val="000000" w:themeColor="text1"/>
          <w:szCs w:val="20"/>
        </w:rPr>
        <w:t>і складає собівартість нематеріального активу за вирахуванням зносу або збитків від зменшення корисності нематеріального активу.</w:t>
      </w:r>
    </w:p>
    <w:p w14:paraId="38B872AD" w14:textId="60600A11" w:rsidR="00D7008C" w:rsidRPr="003825A1" w:rsidRDefault="00D7008C" w:rsidP="00370331">
      <w:pPr>
        <w:pStyle w:val="af7"/>
        <w:rPr>
          <w:rFonts w:asciiTheme="minorHAnsi" w:hAnsiTheme="minorHAnsi" w:cstheme="minorHAnsi"/>
          <w:color w:val="000000" w:themeColor="text1"/>
        </w:rPr>
      </w:pPr>
      <w:r w:rsidRPr="003D6959">
        <w:rPr>
          <w:rFonts w:asciiTheme="minorHAnsi" w:hAnsiTheme="minorHAnsi" w:cstheme="minorHAnsi"/>
          <w:color w:val="000000" w:themeColor="text1"/>
        </w:rPr>
        <w:t>Амортизація нематеріальних активів здійснюється на прямолінійній основі виходячи з термінів корисної дії нематеріального активу. Витрати на амортизаційні відрахування відображені у складі адміністративних витра</w:t>
      </w:r>
      <w:r w:rsidR="001F7FE7" w:rsidRPr="003D6959">
        <w:rPr>
          <w:rFonts w:asciiTheme="minorHAnsi" w:hAnsiTheme="minorHAnsi" w:cstheme="minorHAnsi"/>
          <w:color w:val="000000" w:themeColor="text1"/>
        </w:rPr>
        <w:t>т Компанії. Станом на 31.12.20</w:t>
      </w:r>
      <w:r w:rsidR="00AB0DD8">
        <w:rPr>
          <w:rFonts w:asciiTheme="minorHAnsi" w:hAnsiTheme="minorHAnsi" w:cstheme="minorHAnsi"/>
          <w:color w:val="000000" w:themeColor="text1"/>
        </w:rPr>
        <w:t>20</w:t>
      </w:r>
      <w:r w:rsidRPr="003D6959">
        <w:rPr>
          <w:rFonts w:asciiTheme="minorHAnsi" w:hAnsiTheme="minorHAnsi" w:cstheme="minorHAnsi"/>
          <w:color w:val="000000" w:themeColor="text1"/>
        </w:rPr>
        <w:t xml:space="preserve"> на балансі Компанії немає нематеріальних активів з </w:t>
      </w:r>
      <w:r w:rsidRPr="003825A1">
        <w:rPr>
          <w:rFonts w:asciiTheme="minorHAnsi" w:hAnsiTheme="minorHAnsi" w:cstheme="minorHAnsi"/>
          <w:color w:val="000000" w:themeColor="text1"/>
        </w:rPr>
        <w:t>невизначеним строком корисної дії або таких, що виготовлені в результаті власних дослідних робіт Компанії.</w:t>
      </w:r>
    </w:p>
    <w:p w14:paraId="17143316" w14:textId="77777777" w:rsidR="00D7008C" w:rsidRPr="003825A1" w:rsidRDefault="00D7008C" w:rsidP="00370331">
      <w:pPr>
        <w:pStyle w:val="af7"/>
        <w:rPr>
          <w:rFonts w:asciiTheme="minorHAnsi" w:hAnsiTheme="minorHAnsi" w:cstheme="minorHAnsi"/>
          <w:color w:val="000000" w:themeColor="text1"/>
        </w:rPr>
      </w:pPr>
      <w:r w:rsidRPr="003825A1">
        <w:rPr>
          <w:rFonts w:asciiTheme="minorHAnsi" w:hAnsiTheme="minorHAnsi" w:cstheme="minorHAnsi"/>
          <w:color w:val="000000" w:themeColor="text1"/>
        </w:rPr>
        <w:t xml:space="preserve">Протягом звітного періоду змін в оцінках термінів експлуатації, а також зміни методів амортизації нематеріальних активів Компанії не було. </w:t>
      </w:r>
    </w:p>
    <w:p w14:paraId="7CF89D78" w14:textId="549F46D7" w:rsidR="00D7008C" w:rsidRPr="003D6959" w:rsidRDefault="00D7008C" w:rsidP="00370331">
      <w:pPr>
        <w:pStyle w:val="af7"/>
        <w:rPr>
          <w:rFonts w:asciiTheme="minorHAnsi" w:hAnsiTheme="minorHAnsi" w:cstheme="minorHAnsi"/>
          <w:color w:val="000000" w:themeColor="text1"/>
        </w:rPr>
      </w:pPr>
      <w:r w:rsidRPr="003825A1">
        <w:rPr>
          <w:rFonts w:asciiTheme="minorHAnsi" w:hAnsiTheme="minorHAnsi" w:cstheme="minorHAnsi"/>
          <w:color w:val="000000" w:themeColor="text1"/>
        </w:rPr>
        <w:t>Обмеження права власності Компанії на нематеріальні активи станом на 31</w:t>
      </w:r>
      <w:r w:rsidR="001F7FE7" w:rsidRPr="003825A1">
        <w:rPr>
          <w:rFonts w:asciiTheme="minorHAnsi" w:hAnsiTheme="minorHAnsi" w:cstheme="minorHAnsi"/>
          <w:color w:val="000000" w:themeColor="text1"/>
        </w:rPr>
        <w:t>.12.20</w:t>
      </w:r>
      <w:r w:rsidR="00AB0DD8" w:rsidRPr="003825A1">
        <w:rPr>
          <w:rFonts w:asciiTheme="minorHAnsi" w:hAnsiTheme="minorHAnsi" w:cstheme="minorHAnsi"/>
          <w:color w:val="000000" w:themeColor="text1"/>
        </w:rPr>
        <w:t>20</w:t>
      </w:r>
      <w:r w:rsidR="001F7FE7" w:rsidRPr="003825A1">
        <w:rPr>
          <w:rFonts w:asciiTheme="minorHAnsi" w:hAnsiTheme="minorHAnsi" w:cstheme="minorHAnsi"/>
          <w:color w:val="000000" w:themeColor="text1"/>
        </w:rPr>
        <w:t xml:space="preserve"> та 31.12.20</w:t>
      </w:r>
      <w:r w:rsidR="00AB0DD8" w:rsidRPr="003825A1">
        <w:rPr>
          <w:rFonts w:asciiTheme="minorHAnsi" w:hAnsiTheme="minorHAnsi" w:cstheme="minorHAnsi"/>
          <w:color w:val="000000" w:themeColor="text1"/>
        </w:rPr>
        <w:t>19</w:t>
      </w:r>
      <w:r w:rsidR="001F7FE7" w:rsidRPr="003825A1">
        <w:rPr>
          <w:rFonts w:asciiTheme="minorHAnsi" w:hAnsiTheme="minorHAnsi" w:cstheme="minorHAnsi"/>
          <w:color w:val="000000" w:themeColor="text1"/>
        </w:rPr>
        <w:t xml:space="preserve"> відсутні. Станом на 31.12.20</w:t>
      </w:r>
      <w:r w:rsidR="00AB0DD8" w:rsidRPr="003825A1">
        <w:rPr>
          <w:rFonts w:asciiTheme="minorHAnsi" w:hAnsiTheme="minorHAnsi" w:cstheme="minorHAnsi"/>
          <w:color w:val="000000" w:themeColor="text1"/>
        </w:rPr>
        <w:t>20</w:t>
      </w:r>
      <w:r w:rsidRPr="003825A1">
        <w:rPr>
          <w:rFonts w:asciiTheme="minorHAnsi" w:hAnsiTheme="minorHAnsi" w:cstheme="minorHAnsi"/>
          <w:color w:val="000000" w:themeColor="text1"/>
        </w:rPr>
        <w:t xml:space="preserve"> Компанія не має договірних зобов’язань щодо придбання нематеріальних активів.</w:t>
      </w:r>
    </w:p>
    <w:p w14:paraId="68BDF38F" w14:textId="46E38625" w:rsidR="00920BA5" w:rsidRDefault="00462939" w:rsidP="0065373B">
      <w:pPr>
        <w:pStyle w:val="1"/>
        <w:rPr>
          <w:color w:val="000000" w:themeColor="text1"/>
          <w:szCs w:val="20"/>
        </w:rPr>
      </w:pPr>
      <w:bookmarkStart w:id="106" w:name="_Toc475007904"/>
      <w:bookmarkStart w:id="107" w:name="_Toc475522351"/>
      <w:bookmarkStart w:id="108" w:name="_Toc68253965"/>
      <w:r w:rsidRPr="000C24AF">
        <w:rPr>
          <w:color w:val="000000" w:themeColor="text1"/>
          <w:szCs w:val="20"/>
        </w:rPr>
        <w:t>Інші фінансові активи</w:t>
      </w:r>
      <w:bookmarkEnd w:id="106"/>
      <w:bookmarkEnd w:id="107"/>
      <w:bookmarkEnd w:id="108"/>
    </w:p>
    <w:p w14:paraId="0E5ADB86" w14:textId="77777777" w:rsidR="00B10862" w:rsidRPr="000C24AF" w:rsidRDefault="00B10862" w:rsidP="00B10862">
      <w:pPr>
        <w:pStyle w:val="af7"/>
        <w:rPr>
          <w:color w:val="000000" w:themeColor="text1"/>
          <w:szCs w:val="20"/>
        </w:rPr>
      </w:pPr>
      <w:r w:rsidRPr="000C24AF">
        <w:rPr>
          <w:rFonts w:asciiTheme="minorHAnsi" w:hAnsiTheme="minorHAnsi" w:cstheme="minorHAnsi"/>
          <w:color w:val="000000" w:themeColor="text1"/>
          <w:szCs w:val="20"/>
        </w:rPr>
        <w:t xml:space="preserve">До інших фінансових активів віднесені внески до статутних капіталів компаній, якими Компанія планує володіти протягом невизначеного періоду часу і реалізувати в разі потреби забезпечення ліквідності. Ці інвестиції обліковуються за собівартістю. </w:t>
      </w:r>
      <w:r w:rsidRPr="000C24AF">
        <w:rPr>
          <w:color w:val="000000" w:themeColor="text1"/>
          <w:szCs w:val="20"/>
        </w:rPr>
        <w:t>Справедливу вартість визначити неможливо.</w:t>
      </w:r>
    </w:p>
    <w:tbl>
      <w:tblPr>
        <w:tblW w:w="5000" w:type="pct"/>
        <w:tblLook w:val="01E0" w:firstRow="1" w:lastRow="1" w:firstColumn="1" w:lastColumn="1" w:noHBand="0" w:noVBand="0"/>
      </w:tblPr>
      <w:tblGrid>
        <w:gridCol w:w="4395"/>
        <w:gridCol w:w="2760"/>
        <w:gridCol w:w="2482"/>
      </w:tblGrid>
      <w:tr w:rsidR="00B10862" w:rsidRPr="000C24AF" w14:paraId="6192B302" w14:textId="77777777" w:rsidTr="00791EAC">
        <w:trPr>
          <w:trHeight w:val="283"/>
          <w:tblHeader/>
        </w:trPr>
        <w:tc>
          <w:tcPr>
            <w:tcW w:w="2280" w:type="pct"/>
            <w:vMerge w:val="restart"/>
            <w:shd w:val="clear" w:color="auto" w:fill="auto"/>
            <w:vAlign w:val="center"/>
          </w:tcPr>
          <w:p w14:paraId="4EA4507C" w14:textId="77777777" w:rsidR="00B10862" w:rsidRPr="000C24AF" w:rsidRDefault="00B10862" w:rsidP="00791EAC">
            <w:pPr>
              <w:jc w:val="left"/>
              <w:rPr>
                <w:rFonts w:asciiTheme="minorHAnsi" w:hAnsiTheme="minorHAnsi" w:cstheme="minorHAnsi"/>
                <w:b/>
                <w:color w:val="000000" w:themeColor="text1"/>
                <w:szCs w:val="20"/>
              </w:rPr>
            </w:pPr>
            <w:r w:rsidRPr="000C24AF">
              <w:rPr>
                <w:rFonts w:asciiTheme="minorHAnsi" w:hAnsiTheme="minorHAnsi" w:cstheme="minorHAnsi"/>
                <w:b/>
                <w:bCs/>
                <w:color w:val="000000" w:themeColor="text1"/>
                <w:szCs w:val="20"/>
              </w:rPr>
              <w:t xml:space="preserve">12.1 Інші фінансові </w:t>
            </w:r>
            <w:r>
              <w:rPr>
                <w:rFonts w:asciiTheme="minorHAnsi" w:hAnsiTheme="minorHAnsi" w:cstheme="minorHAnsi"/>
                <w:b/>
                <w:bCs/>
                <w:color w:val="000000" w:themeColor="text1"/>
                <w:szCs w:val="20"/>
              </w:rPr>
              <w:t>інвестиції</w:t>
            </w:r>
          </w:p>
        </w:tc>
        <w:tc>
          <w:tcPr>
            <w:tcW w:w="2720" w:type="pct"/>
            <w:gridSpan w:val="2"/>
            <w:tcBorders>
              <w:bottom w:val="single" w:sz="4" w:space="0" w:color="auto"/>
            </w:tcBorders>
            <w:shd w:val="clear" w:color="auto" w:fill="auto"/>
            <w:vAlign w:val="center"/>
          </w:tcPr>
          <w:p w14:paraId="10B096B7" w14:textId="77777777" w:rsidR="00B10862" w:rsidRPr="000C24AF" w:rsidRDefault="00B10862" w:rsidP="00791EAC">
            <w:pPr>
              <w:jc w:val="center"/>
              <w:rPr>
                <w:rFonts w:asciiTheme="minorHAnsi" w:hAnsiTheme="minorHAnsi" w:cstheme="minorHAnsi"/>
                <w:b/>
                <w:color w:val="000000" w:themeColor="text1"/>
                <w:szCs w:val="20"/>
              </w:rPr>
            </w:pPr>
          </w:p>
        </w:tc>
      </w:tr>
      <w:tr w:rsidR="00B10862" w:rsidRPr="000C24AF" w14:paraId="3E413D68" w14:textId="77777777" w:rsidTr="00791EAC">
        <w:trPr>
          <w:trHeight w:val="283"/>
          <w:tblHeader/>
        </w:trPr>
        <w:tc>
          <w:tcPr>
            <w:tcW w:w="2280" w:type="pct"/>
            <w:vMerge/>
            <w:tcBorders>
              <w:bottom w:val="single" w:sz="4" w:space="0" w:color="auto"/>
            </w:tcBorders>
            <w:shd w:val="clear" w:color="auto" w:fill="auto"/>
            <w:vAlign w:val="center"/>
          </w:tcPr>
          <w:p w14:paraId="53EA4D56" w14:textId="77777777" w:rsidR="00B10862" w:rsidRPr="000C24AF" w:rsidRDefault="00B10862" w:rsidP="00791EAC">
            <w:pPr>
              <w:jc w:val="left"/>
              <w:rPr>
                <w:rFonts w:asciiTheme="minorHAnsi" w:hAnsiTheme="minorHAnsi" w:cstheme="minorHAnsi"/>
                <w:b/>
                <w:color w:val="000000" w:themeColor="text1"/>
                <w:szCs w:val="20"/>
              </w:rPr>
            </w:pPr>
          </w:p>
        </w:tc>
        <w:tc>
          <w:tcPr>
            <w:tcW w:w="1432" w:type="pct"/>
            <w:tcBorders>
              <w:top w:val="single" w:sz="4" w:space="0" w:color="auto"/>
              <w:bottom w:val="single" w:sz="4" w:space="0" w:color="auto"/>
            </w:tcBorders>
            <w:vAlign w:val="center"/>
          </w:tcPr>
          <w:p w14:paraId="5EA5AE83" w14:textId="56F609BC" w:rsidR="00B10862" w:rsidRPr="000C24AF" w:rsidRDefault="00B10862" w:rsidP="00AB0DD8">
            <w:pPr>
              <w:jc w:val="center"/>
              <w:rPr>
                <w:rFonts w:asciiTheme="minorHAnsi" w:hAnsiTheme="minorHAnsi" w:cstheme="minorHAnsi"/>
                <w:b/>
                <w:color w:val="000000" w:themeColor="text1"/>
                <w:szCs w:val="20"/>
              </w:rPr>
            </w:pPr>
            <w:r w:rsidRPr="000C24AF">
              <w:rPr>
                <w:rFonts w:asciiTheme="minorHAnsi" w:hAnsiTheme="minorHAnsi" w:cstheme="minorHAnsi"/>
                <w:b/>
                <w:color w:val="000000" w:themeColor="text1"/>
                <w:szCs w:val="20"/>
              </w:rPr>
              <w:t>31.12.20</w:t>
            </w:r>
            <w:r w:rsidR="00AB0DD8">
              <w:rPr>
                <w:rFonts w:asciiTheme="minorHAnsi" w:hAnsiTheme="minorHAnsi" w:cstheme="minorHAnsi"/>
                <w:b/>
                <w:color w:val="000000" w:themeColor="text1"/>
                <w:szCs w:val="20"/>
              </w:rPr>
              <w:t>20</w:t>
            </w:r>
          </w:p>
        </w:tc>
        <w:tc>
          <w:tcPr>
            <w:tcW w:w="1288" w:type="pct"/>
            <w:tcBorders>
              <w:top w:val="single" w:sz="4" w:space="0" w:color="auto"/>
              <w:bottom w:val="single" w:sz="4" w:space="0" w:color="auto"/>
            </w:tcBorders>
            <w:shd w:val="clear" w:color="auto" w:fill="auto"/>
            <w:vAlign w:val="center"/>
          </w:tcPr>
          <w:p w14:paraId="1524C25E" w14:textId="57E809A6" w:rsidR="00B10862" w:rsidRPr="000C24AF" w:rsidRDefault="00B10862" w:rsidP="00AB0DD8">
            <w:pPr>
              <w:jc w:val="center"/>
              <w:rPr>
                <w:rFonts w:asciiTheme="minorHAnsi" w:hAnsiTheme="minorHAnsi" w:cstheme="minorHAnsi"/>
                <w:b/>
                <w:color w:val="000000" w:themeColor="text1"/>
                <w:szCs w:val="20"/>
              </w:rPr>
            </w:pPr>
            <w:r w:rsidRPr="000C24AF">
              <w:rPr>
                <w:rFonts w:asciiTheme="minorHAnsi" w:hAnsiTheme="minorHAnsi" w:cstheme="minorHAnsi"/>
                <w:b/>
                <w:color w:val="000000" w:themeColor="text1"/>
                <w:szCs w:val="20"/>
              </w:rPr>
              <w:t>31.12.201</w:t>
            </w:r>
            <w:r w:rsidR="00AB0DD8">
              <w:rPr>
                <w:rFonts w:asciiTheme="minorHAnsi" w:hAnsiTheme="minorHAnsi" w:cstheme="minorHAnsi"/>
                <w:b/>
                <w:color w:val="000000" w:themeColor="text1"/>
                <w:szCs w:val="20"/>
              </w:rPr>
              <w:t>9</w:t>
            </w:r>
          </w:p>
        </w:tc>
      </w:tr>
      <w:tr w:rsidR="00AB0DD8" w:rsidRPr="000C24AF" w14:paraId="53AC10B2" w14:textId="77777777" w:rsidTr="00791EAC">
        <w:trPr>
          <w:trHeight w:val="255"/>
        </w:trPr>
        <w:tc>
          <w:tcPr>
            <w:tcW w:w="2280" w:type="pct"/>
            <w:tcBorders>
              <w:top w:val="single" w:sz="4" w:space="0" w:color="auto"/>
            </w:tcBorders>
            <w:shd w:val="clear" w:color="auto" w:fill="auto"/>
            <w:vAlign w:val="bottom"/>
          </w:tcPr>
          <w:p w14:paraId="67DD8D87" w14:textId="77777777" w:rsidR="00AB0DD8" w:rsidRPr="00BB2D11" w:rsidRDefault="00AB0DD8" w:rsidP="00AB0DD8">
            <w:pPr>
              <w:pStyle w:val="af7"/>
              <w:spacing w:before="0" w:after="0"/>
              <w:jc w:val="left"/>
              <w:rPr>
                <w:rFonts w:asciiTheme="minorHAnsi" w:hAnsiTheme="minorHAnsi" w:cstheme="minorHAnsi"/>
                <w:color w:val="000000" w:themeColor="text1"/>
                <w:szCs w:val="20"/>
              </w:rPr>
            </w:pPr>
            <w:r w:rsidRPr="00BB2D11">
              <w:rPr>
                <w:rFonts w:asciiTheme="minorHAnsi" w:hAnsiTheme="minorHAnsi" w:cstheme="minorHAnsi"/>
                <w:color w:val="000000" w:themeColor="text1"/>
                <w:szCs w:val="20"/>
              </w:rPr>
              <w:t>Акції</w:t>
            </w:r>
          </w:p>
        </w:tc>
        <w:tc>
          <w:tcPr>
            <w:tcW w:w="1432" w:type="pct"/>
            <w:tcBorders>
              <w:top w:val="single" w:sz="4" w:space="0" w:color="auto"/>
            </w:tcBorders>
            <w:vAlign w:val="bottom"/>
          </w:tcPr>
          <w:p w14:paraId="398B7093" w14:textId="7C2F2998" w:rsidR="00AB0DD8" w:rsidRPr="00BB2D11" w:rsidRDefault="00AB0DD8" w:rsidP="00AB0DD8">
            <w:pPr>
              <w:jc w:val="right"/>
              <w:rPr>
                <w:rFonts w:asciiTheme="minorHAnsi" w:hAnsiTheme="minorHAnsi" w:cstheme="minorHAnsi"/>
                <w:bCs/>
                <w:color w:val="000000" w:themeColor="text1"/>
                <w:szCs w:val="20"/>
              </w:rPr>
            </w:pPr>
            <w:r>
              <w:rPr>
                <w:color w:val="000000" w:themeColor="text1"/>
                <w:szCs w:val="20"/>
              </w:rPr>
              <w:t>121 819</w:t>
            </w:r>
            <w:r w:rsidRPr="00BB2D11">
              <w:rPr>
                <w:color w:val="000000" w:themeColor="text1"/>
                <w:szCs w:val="20"/>
              </w:rPr>
              <w:t xml:space="preserve"> </w:t>
            </w:r>
          </w:p>
        </w:tc>
        <w:tc>
          <w:tcPr>
            <w:tcW w:w="1288" w:type="pct"/>
            <w:tcBorders>
              <w:top w:val="single" w:sz="4" w:space="0" w:color="auto"/>
            </w:tcBorders>
            <w:shd w:val="clear" w:color="auto" w:fill="auto"/>
            <w:vAlign w:val="bottom"/>
          </w:tcPr>
          <w:p w14:paraId="356A8CE6" w14:textId="48C30213" w:rsidR="00AB0DD8" w:rsidRPr="00BB2D11" w:rsidRDefault="00AB0DD8" w:rsidP="00AB0DD8">
            <w:pPr>
              <w:jc w:val="right"/>
              <w:rPr>
                <w:rFonts w:asciiTheme="minorHAnsi" w:hAnsiTheme="minorHAnsi" w:cstheme="minorHAnsi"/>
                <w:bCs/>
                <w:color w:val="000000" w:themeColor="text1"/>
                <w:szCs w:val="20"/>
              </w:rPr>
            </w:pPr>
            <w:r w:rsidRPr="00BB2D11">
              <w:rPr>
                <w:color w:val="000000" w:themeColor="text1"/>
                <w:szCs w:val="20"/>
              </w:rPr>
              <w:t xml:space="preserve">66 024 </w:t>
            </w:r>
          </w:p>
        </w:tc>
      </w:tr>
      <w:tr w:rsidR="00AB0DD8" w:rsidRPr="000C24AF" w14:paraId="22A6CAD5" w14:textId="77777777" w:rsidTr="00791EAC">
        <w:trPr>
          <w:trHeight w:val="255"/>
        </w:trPr>
        <w:tc>
          <w:tcPr>
            <w:tcW w:w="2280" w:type="pct"/>
            <w:shd w:val="clear" w:color="auto" w:fill="auto"/>
            <w:vAlign w:val="bottom"/>
          </w:tcPr>
          <w:p w14:paraId="0B095EE6" w14:textId="77777777" w:rsidR="00AB0DD8" w:rsidRPr="00BB2D11" w:rsidRDefault="00AB0DD8" w:rsidP="00AB0DD8">
            <w:pPr>
              <w:pStyle w:val="af7"/>
              <w:spacing w:before="0" w:after="0"/>
              <w:jc w:val="left"/>
              <w:rPr>
                <w:rFonts w:asciiTheme="minorHAnsi" w:hAnsiTheme="minorHAnsi" w:cstheme="minorHAnsi"/>
                <w:color w:val="000000" w:themeColor="text1"/>
                <w:szCs w:val="20"/>
              </w:rPr>
            </w:pPr>
            <w:r w:rsidRPr="00BB2D11">
              <w:rPr>
                <w:rFonts w:asciiTheme="minorHAnsi" w:hAnsiTheme="minorHAnsi" w:cstheme="minorHAnsi"/>
                <w:color w:val="000000" w:themeColor="text1"/>
                <w:szCs w:val="20"/>
              </w:rPr>
              <w:t>Корпоративні права</w:t>
            </w:r>
          </w:p>
        </w:tc>
        <w:tc>
          <w:tcPr>
            <w:tcW w:w="1432" w:type="pct"/>
            <w:vAlign w:val="bottom"/>
          </w:tcPr>
          <w:p w14:paraId="018A560E" w14:textId="77777777" w:rsidR="00AB0DD8" w:rsidRPr="00BB2D11" w:rsidRDefault="00AB0DD8" w:rsidP="00AB0DD8">
            <w:pPr>
              <w:jc w:val="right"/>
              <w:rPr>
                <w:rFonts w:asciiTheme="minorHAnsi" w:hAnsiTheme="minorHAnsi" w:cstheme="minorHAnsi"/>
                <w:bCs/>
                <w:color w:val="000000" w:themeColor="text1"/>
                <w:szCs w:val="20"/>
              </w:rPr>
            </w:pPr>
            <w:r w:rsidRPr="00BB2D11">
              <w:rPr>
                <w:color w:val="000000" w:themeColor="text1"/>
                <w:szCs w:val="20"/>
              </w:rPr>
              <w:t xml:space="preserve">100 </w:t>
            </w:r>
          </w:p>
        </w:tc>
        <w:tc>
          <w:tcPr>
            <w:tcW w:w="1288" w:type="pct"/>
            <w:shd w:val="clear" w:color="auto" w:fill="auto"/>
            <w:vAlign w:val="bottom"/>
          </w:tcPr>
          <w:p w14:paraId="331408EA" w14:textId="5A1F1ADE" w:rsidR="00AB0DD8" w:rsidRPr="00BB2D11" w:rsidRDefault="00AB0DD8" w:rsidP="00AB0DD8">
            <w:pPr>
              <w:jc w:val="right"/>
              <w:rPr>
                <w:rFonts w:asciiTheme="minorHAnsi" w:hAnsiTheme="minorHAnsi" w:cstheme="minorHAnsi"/>
                <w:bCs/>
                <w:color w:val="000000" w:themeColor="text1"/>
                <w:szCs w:val="20"/>
              </w:rPr>
            </w:pPr>
            <w:r w:rsidRPr="00BB2D11">
              <w:rPr>
                <w:color w:val="000000" w:themeColor="text1"/>
                <w:szCs w:val="20"/>
              </w:rPr>
              <w:t xml:space="preserve">100 </w:t>
            </w:r>
          </w:p>
        </w:tc>
      </w:tr>
      <w:tr w:rsidR="00AB0DD8" w:rsidRPr="000C24AF" w14:paraId="4692BBAE" w14:textId="77777777" w:rsidTr="00791EAC">
        <w:trPr>
          <w:trHeight w:val="255"/>
        </w:trPr>
        <w:tc>
          <w:tcPr>
            <w:tcW w:w="2280" w:type="pct"/>
            <w:tcBorders>
              <w:top w:val="single" w:sz="4" w:space="0" w:color="auto"/>
            </w:tcBorders>
            <w:shd w:val="clear" w:color="auto" w:fill="auto"/>
            <w:vAlign w:val="bottom"/>
          </w:tcPr>
          <w:p w14:paraId="4AF8E4FF" w14:textId="77777777" w:rsidR="00AB0DD8" w:rsidRPr="000C24AF" w:rsidRDefault="00AB0DD8" w:rsidP="00AB0DD8">
            <w:pPr>
              <w:jc w:val="left"/>
              <w:rPr>
                <w:rFonts w:asciiTheme="minorHAnsi" w:hAnsiTheme="minorHAnsi" w:cstheme="minorHAnsi"/>
                <w:b/>
                <w:color w:val="000000" w:themeColor="text1"/>
                <w:szCs w:val="20"/>
              </w:rPr>
            </w:pPr>
            <w:r w:rsidRPr="000C24AF">
              <w:rPr>
                <w:rFonts w:asciiTheme="minorHAnsi" w:hAnsiTheme="minorHAnsi" w:cstheme="minorHAnsi"/>
                <w:b/>
                <w:color w:val="000000" w:themeColor="text1"/>
                <w:szCs w:val="20"/>
              </w:rPr>
              <w:t>Разом:</w:t>
            </w:r>
          </w:p>
        </w:tc>
        <w:tc>
          <w:tcPr>
            <w:tcW w:w="1432" w:type="pct"/>
            <w:tcBorders>
              <w:top w:val="single" w:sz="4" w:space="0" w:color="auto"/>
            </w:tcBorders>
            <w:vAlign w:val="bottom"/>
          </w:tcPr>
          <w:p w14:paraId="4975E526" w14:textId="786E935C" w:rsidR="00AB0DD8" w:rsidRPr="000C24AF" w:rsidRDefault="00AB0DD8" w:rsidP="00AB0DD8">
            <w:pPr>
              <w:jc w:val="right"/>
              <w:rPr>
                <w:rFonts w:asciiTheme="minorHAnsi" w:hAnsiTheme="minorHAnsi" w:cstheme="minorHAnsi"/>
                <w:b/>
                <w:bCs/>
                <w:color w:val="000000" w:themeColor="text1"/>
                <w:szCs w:val="20"/>
              </w:rPr>
            </w:pPr>
            <w:r>
              <w:rPr>
                <w:b/>
                <w:bCs/>
                <w:color w:val="000000" w:themeColor="text1"/>
                <w:szCs w:val="20"/>
              </w:rPr>
              <w:t>121 919</w:t>
            </w:r>
            <w:r w:rsidRPr="000C24AF">
              <w:rPr>
                <w:b/>
                <w:bCs/>
                <w:color w:val="000000" w:themeColor="text1"/>
                <w:szCs w:val="20"/>
              </w:rPr>
              <w:t xml:space="preserve"> </w:t>
            </w:r>
          </w:p>
        </w:tc>
        <w:tc>
          <w:tcPr>
            <w:tcW w:w="1288" w:type="pct"/>
            <w:tcBorders>
              <w:top w:val="single" w:sz="4" w:space="0" w:color="auto"/>
            </w:tcBorders>
            <w:shd w:val="clear" w:color="auto" w:fill="auto"/>
            <w:vAlign w:val="bottom"/>
          </w:tcPr>
          <w:p w14:paraId="4AE4CCD4" w14:textId="2C44C3B9" w:rsidR="00AB0DD8" w:rsidRPr="000C24AF" w:rsidRDefault="00AB0DD8" w:rsidP="00AB0DD8">
            <w:pPr>
              <w:jc w:val="right"/>
              <w:rPr>
                <w:rFonts w:asciiTheme="minorHAnsi" w:hAnsiTheme="minorHAnsi" w:cstheme="minorHAnsi"/>
                <w:b/>
                <w:bCs/>
                <w:color w:val="000000" w:themeColor="text1"/>
                <w:szCs w:val="20"/>
              </w:rPr>
            </w:pPr>
            <w:r w:rsidRPr="000C24AF">
              <w:rPr>
                <w:b/>
                <w:bCs/>
                <w:color w:val="000000" w:themeColor="text1"/>
                <w:szCs w:val="20"/>
              </w:rPr>
              <w:t xml:space="preserve">66 124 </w:t>
            </w:r>
          </w:p>
        </w:tc>
      </w:tr>
    </w:tbl>
    <w:p w14:paraId="753F52E3" w14:textId="77777777" w:rsidR="003825A1" w:rsidRDefault="003825A1" w:rsidP="003825A1">
      <w:pPr>
        <w:pStyle w:val="0"/>
      </w:pPr>
      <w:bookmarkStart w:id="109" w:name="_Toc36817728"/>
    </w:p>
    <w:p w14:paraId="219E17BE" w14:textId="76906DAE" w:rsidR="00B10862" w:rsidRPr="002243DD" w:rsidRDefault="00B10862" w:rsidP="003825A1">
      <w:pPr>
        <w:pStyle w:val="0"/>
        <w:rPr>
          <w:lang w:val="uk-UA"/>
        </w:rPr>
      </w:pPr>
      <w:r w:rsidRPr="003825A1">
        <w:t>Станом на 31.12.20</w:t>
      </w:r>
      <w:r w:rsidR="003825A1" w:rsidRPr="003825A1">
        <w:t>20</w:t>
      </w:r>
      <w:r w:rsidRPr="003825A1">
        <w:t xml:space="preserve">  </w:t>
      </w:r>
      <w:r w:rsidRPr="002243DD">
        <w:rPr>
          <w:lang w:val="uk-UA"/>
        </w:rPr>
        <w:t>Компанія обліковує векселі</w:t>
      </w:r>
      <w:r w:rsidRPr="003825A1">
        <w:t xml:space="preserve"> на суму 212 546 тис. грн.,</w:t>
      </w:r>
      <w:r w:rsidR="00861A3E" w:rsidRPr="003825A1">
        <w:t xml:space="preserve"> </w:t>
      </w:r>
      <w:r w:rsidRPr="002243DD">
        <w:rPr>
          <w:lang w:val="uk-UA"/>
        </w:rPr>
        <w:t xml:space="preserve">за якими </w:t>
      </w:r>
      <w:r w:rsidR="00C97A41" w:rsidRPr="002243DD">
        <w:rPr>
          <w:lang w:val="uk-UA"/>
        </w:rPr>
        <w:t>нарахований</w:t>
      </w:r>
      <w:r w:rsidRPr="002243DD">
        <w:rPr>
          <w:lang w:val="uk-UA"/>
        </w:rPr>
        <w:t xml:space="preserve">  резерв </w:t>
      </w:r>
      <w:r w:rsidR="00F00A3F" w:rsidRPr="002243DD">
        <w:rPr>
          <w:lang w:val="uk-UA"/>
        </w:rPr>
        <w:t xml:space="preserve">кредитних збитків </w:t>
      </w:r>
      <w:r w:rsidRPr="002243DD">
        <w:rPr>
          <w:lang w:val="uk-UA"/>
        </w:rPr>
        <w:t xml:space="preserve">на суму  212 546 </w:t>
      </w:r>
      <w:r w:rsidR="008E3E70">
        <w:rPr>
          <w:lang w:val="uk-UA"/>
        </w:rPr>
        <w:t>тис. гр</w:t>
      </w:r>
      <w:r w:rsidRPr="002243DD">
        <w:rPr>
          <w:lang w:val="uk-UA"/>
        </w:rPr>
        <w:t>н</w:t>
      </w:r>
      <w:r w:rsidRPr="002243DD">
        <w:rPr>
          <w:rStyle w:val="highlight"/>
          <w:lang w:val="uk-UA"/>
        </w:rPr>
        <w:t>.</w:t>
      </w:r>
      <w:bookmarkEnd w:id="109"/>
    </w:p>
    <w:p w14:paraId="015DA88F" w14:textId="1D01C39F" w:rsidR="00920BA5" w:rsidRPr="00120309" w:rsidRDefault="00462939" w:rsidP="0065373B">
      <w:pPr>
        <w:pStyle w:val="1"/>
        <w:rPr>
          <w:color w:val="000000" w:themeColor="text1"/>
          <w:szCs w:val="20"/>
        </w:rPr>
      </w:pPr>
      <w:bookmarkStart w:id="110" w:name="_Toc475007905"/>
      <w:bookmarkStart w:id="111" w:name="_Toc475522352"/>
      <w:bookmarkStart w:id="112" w:name="_Toc68253966"/>
      <w:r w:rsidRPr="00120309">
        <w:rPr>
          <w:color w:val="000000" w:themeColor="text1"/>
          <w:szCs w:val="20"/>
        </w:rPr>
        <w:t>Запаси</w:t>
      </w:r>
      <w:bookmarkEnd w:id="110"/>
      <w:bookmarkEnd w:id="111"/>
      <w:bookmarkEnd w:id="112"/>
    </w:p>
    <w:tbl>
      <w:tblPr>
        <w:tblW w:w="5000" w:type="pct"/>
        <w:tblLook w:val="00A0" w:firstRow="1" w:lastRow="0" w:firstColumn="1" w:lastColumn="0" w:noHBand="0" w:noVBand="0"/>
      </w:tblPr>
      <w:tblGrid>
        <w:gridCol w:w="5515"/>
        <w:gridCol w:w="2060"/>
        <w:gridCol w:w="2062"/>
      </w:tblGrid>
      <w:tr w:rsidR="00A464CA" w:rsidRPr="00120309" w14:paraId="7E9CB358" w14:textId="77777777" w:rsidTr="009D2AB4">
        <w:trPr>
          <w:trHeight w:val="412"/>
          <w:tblHeader/>
        </w:trPr>
        <w:tc>
          <w:tcPr>
            <w:tcW w:w="2861" w:type="pct"/>
            <w:tcBorders>
              <w:left w:val="nil"/>
              <w:bottom w:val="single" w:sz="4" w:space="0" w:color="auto"/>
              <w:right w:val="nil"/>
            </w:tcBorders>
            <w:shd w:val="clear" w:color="auto" w:fill="FFFFFF"/>
            <w:noWrap/>
            <w:vAlign w:val="center"/>
          </w:tcPr>
          <w:p w14:paraId="01181546" w14:textId="541506E8" w:rsidR="004D00C1" w:rsidRPr="00120309" w:rsidRDefault="001F668D" w:rsidP="00F60919">
            <w:pPr>
              <w:jc w:val="left"/>
              <w:rPr>
                <w:rFonts w:asciiTheme="minorHAnsi" w:hAnsiTheme="minorHAnsi" w:cstheme="minorHAnsi"/>
                <w:b/>
                <w:bCs/>
                <w:color w:val="000000" w:themeColor="text1"/>
                <w:szCs w:val="20"/>
              </w:rPr>
            </w:pPr>
            <w:r w:rsidRPr="00120309">
              <w:rPr>
                <w:rFonts w:asciiTheme="minorHAnsi" w:hAnsiTheme="minorHAnsi" w:cstheme="minorHAnsi"/>
                <w:b/>
                <w:bCs/>
                <w:color w:val="000000" w:themeColor="text1"/>
                <w:szCs w:val="20"/>
              </w:rPr>
              <w:t>13</w:t>
            </w:r>
            <w:r w:rsidR="004D00C1" w:rsidRPr="00120309">
              <w:rPr>
                <w:rFonts w:asciiTheme="minorHAnsi" w:hAnsiTheme="minorHAnsi" w:cstheme="minorHAnsi"/>
                <w:b/>
                <w:bCs/>
                <w:color w:val="000000" w:themeColor="text1"/>
                <w:szCs w:val="20"/>
              </w:rPr>
              <w:t>.1 Запаси</w:t>
            </w:r>
            <w:r w:rsidR="009A244A" w:rsidRPr="00120309">
              <w:rPr>
                <w:rFonts w:asciiTheme="minorHAnsi" w:hAnsiTheme="minorHAnsi" w:cstheme="minorHAnsi"/>
                <w:b/>
                <w:bCs/>
                <w:color w:val="000000" w:themeColor="text1"/>
                <w:szCs w:val="20"/>
              </w:rPr>
              <w:t xml:space="preserve"> у</w:t>
            </w:r>
            <w:r w:rsidR="004D00C1" w:rsidRPr="00120309">
              <w:rPr>
                <w:rFonts w:asciiTheme="minorHAnsi" w:hAnsiTheme="minorHAnsi" w:cstheme="minorHAnsi"/>
                <w:b/>
                <w:bCs/>
                <w:color w:val="000000" w:themeColor="text1"/>
                <w:szCs w:val="20"/>
              </w:rPr>
              <w:t xml:space="preserve"> Звіті про фінансовий стан</w:t>
            </w:r>
          </w:p>
        </w:tc>
        <w:tc>
          <w:tcPr>
            <w:tcW w:w="1069" w:type="pct"/>
            <w:tcBorders>
              <w:left w:val="nil"/>
              <w:bottom w:val="single" w:sz="4" w:space="0" w:color="auto"/>
              <w:right w:val="nil"/>
            </w:tcBorders>
            <w:shd w:val="clear" w:color="auto" w:fill="FFFFFF"/>
            <w:vAlign w:val="center"/>
          </w:tcPr>
          <w:p w14:paraId="13F4CF10" w14:textId="4A433740" w:rsidR="004D00C1" w:rsidRPr="00120309" w:rsidRDefault="004D00C1" w:rsidP="00F00A3F">
            <w:pPr>
              <w:jc w:val="right"/>
              <w:rPr>
                <w:rFonts w:asciiTheme="minorHAnsi" w:hAnsiTheme="minorHAnsi" w:cstheme="minorHAnsi"/>
                <w:b/>
                <w:color w:val="000000" w:themeColor="text1"/>
                <w:szCs w:val="20"/>
                <w:lang w:val="ru-RU"/>
              </w:rPr>
            </w:pPr>
            <w:r w:rsidRPr="00120309">
              <w:rPr>
                <w:rFonts w:asciiTheme="minorHAnsi" w:hAnsiTheme="minorHAnsi" w:cstheme="minorHAnsi"/>
                <w:b/>
                <w:color w:val="000000" w:themeColor="text1"/>
                <w:szCs w:val="20"/>
              </w:rPr>
              <w:t>31.12.20</w:t>
            </w:r>
            <w:r w:rsidR="00F00A3F" w:rsidRPr="00120309">
              <w:rPr>
                <w:rFonts w:asciiTheme="minorHAnsi" w:hAnsiTheme="minorHAnsi" w:cstheme="minorHAnsi"/>
                <w:b/>
                <w:color w:val="000000" w:themeColor="text1"/>
                <w:szCs w:val="20"/>
                <w:lang w:val="ru-RU"/>
              </w:rPr>
              <w:t>20</w:t>
            </w:r>
          </w:p>
        </w:tc>
        <w:tc>
          <w:tcPr>
            <w:tcW w:w="1070" w:type="pct"/>
            <w:tcBorders>
              <w:left w:val="nil"/>
              <w:bottom w:val="single" w:sz="4" w:space="0" w:color="auto"/>
              <w:right w:val="nil"/>
            </w:tcBorders>
            <w:shd w:val="clear" w:color="auto" w:fill="FFFFFF"/>
            <w:noWrap/>
            <w:vAlign w:val="center"/>
          </w:tcPr>
          <w:p w14:paraId="07631156" w14:textId="0D67EAA5" w:rsidR="00136B8F" w:rsidRPr="009D2AB4" w:rsidRDefault="00E54561" w:rsidP="009D2AB4">
            <w:pPr>
              <w:jc w:val="right"/>
              <w:rPr>
                <w:rFonts w:asciiTheme="minorHAnsi" w:hAnsiTheme="minorHAnsi" w:cstheme="minorHAnsi"/>
                <w:b/>
                <w:color w:val="000000" w:themeColor="text1"/>
                <w:szCs w:val="20"/>
                <w:lang w:val="ru-RU"/>
              </w:rPr>
            </w:pPr>
            <w:r w:rsidRPr="00120309">
              <w:rPr>
                <w:rFonts w:asciiTheme="minorHAnsi" w:hAnsiTheme="minorHAnsi" w:cstheme="minorHAnsi"/>
                <w:b/>
                <w:color w:val="000000" w:themeColor="text1"/>
                <w:szCs w:val="20"/>
              </w:rPr>
              <w:t>31.12.</w:t>
            </w:r>
            <w:r w:rsidR="009D2AB4">
              <w:rPr>
                <w:rFonts w:asciiTheme="minorHAnsi" w:hAnsiTheme="minorHAnsi" w:cstheme="minorHAnsi"/>
                <w:b/>
                <w:color w:val="000000" w:themeColor="text1"/>
                <w:szCs w:val="20"/>
              </w:rPr>
              <w:t>2019</w:t>
            </w:r>
          </w:p>
        </w:tc>
      </w:tr>
      <w:tr w:rsidR="00F00A3F" w:rsidRPr="00120309" w14:paraId="32EA82E3" w14:textId="77777777" w:rsidTr="009D2AB4">
        <w:trPr>
          <w:trHeight w:val="255"/>
        </w:trPr>
        <w:tc>
          <w:tcPr>
            <w:tcW w:w="2861" w:type="pct"/>
            <w:tcBorders>
              <w:top w:val="single" w:sz="4" w:space="0" w:color="auto"/>
              <w:left w:val="nil"/>
              <w:bottom w:val="nil"/>
              <w:right w:val="nil"/>
            </w:tcBorders>
            <w:shd w:val="clear" w:color="auto" w:fill="FFFFFF"/>
            <w:vAlign w:val="bottom"/>
          </w:tcPr>
          <w:p w14:paraId="5C9927C6" w14:textId="49EEBCED"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t>Готова продукція</w:t>
            </w:r>
          </w:p>
        </w:tc>
        <w:tc>
          <w:tcPr>
            <w:tcW w:w="1069" w:type="pct"/>
            <w:tcBorders>
              <w:top w:val="single" w:sz="4" w:space="0" w:color="auto"/>
              <w:left w:val="nil"/>
              <w:bottom w:val="nil"/>
              <w:right w:val="nil"/>
            </w:tcBorders>
            <w:shd w:val="clear" w:color="auto" w:fill="FFFFFF"/>
            <w:vAlign w:val="bottom"/>
          </w:tcPr>
          <w:p w14:paraId="7A97AF44" w14:textId="33854D13" w:rsidR="00F00A3F" w:rsidRPr="00120309" w:rsidRDefault="00120309" w:rsidP="00F00A3F">
            <w:pPr>
              <w:jc w:val="right"/>
              <w:rPr>
                <w:rFonts w:asciiTheme="minorHAnsi" w:hAnsiTheme="minorHAnsi" w:cstheme="minorHAnsi"/>
                <w:color w:val="000000" w:themeColor="text1"/>
                <w:szCs w:val="20"/>
              </w:rPr>
            </w:pPr>
            <w:r>
              <w:rPr>
                <w:color w:val="000000" w:themeColor="text1"/>
                <w:szCs w:val="20"/>
                <w:lang w:val="ru-RU"/>
              </w:rPr>
              <w:t>78 917</w:t>
            </w:r>
            <w:r w:rsidR="00F00A3F" w:rsidRPr="00120309">
              <w:rPr>
                <w:color w:val="000000" w:themeColor="text1"/>
                <w:szCs w:val="20"/>
              </w:rPr>
              <w:t xml:space="preserve"> </w:t>
            </w:r>
          </w:p>
        </w:tc>
        <w:tc>
          <w:tcPr>
            <w:tcW w:w="1070" w:type="pct"/>
            <w:tcBorders>
              <w:top w:val="single" w:sz="4" w:space="0" w:color="auto"/>
              <w:left w:val="nil"/>
              <w:bottom w:val="nil"/>
              <w:right w:val="nil"/>
            </w:tcBorders>
            <w:shd w:val="clear" w:color="auto" w:fill="FFFFFF"/>
            <w:vAlign w:val="bottom"/>
          </w:tcPr>
          <w:p w14:paraId="282BC9D4" w14:textId="7AD4DFA3"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rPr>
              <w:t xml:space="preserve">32 514 </w:t>
            </w:r>
          </w:p>
        </w:tc>
      </w:tr>
      <w:tr w:rsidR="00F00A3F" w:rsidRPr="00120309" w14:paraId="263F0722" w14:textId="77777777" w:rsidTr="00B10862">
        <w:trPr>
          <w:trHeight w:val="255"/>
        </w:trPr>
        <w:tc>
          <w:tcPr>
            <w:tcW w:w="2861" w:type="pct"/>
            <w:tcBorders>
              <w:top w:val="nil"/>
              <w:left w:val="nil"/>
              <w:bottom w:val="nil"/>
              <w:right w:val="nil"/>
            </w:tcBorders>
            <w:shd w:val="clear" w:color="auto" w:fill="FFFFFF"/>
            <w:vAlign w:val="bottom"/>
          </w:tcPr>
          <w:p w14:paraId="69AC1322" w14:textId="458E34D2"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t>Товари</w:t>
            </w:r>
          </w:p>
        </w:tc>
        <w:tc>
          <w:tcPr>
            <w:tcW w:w="1069" w:type="pct"/>
            <w:tcBorders>
              <w:top w:val="nil"/>
              <w:left w:val="nil"/>
              <w:bottom w:val="nil"/>
              <w:right w:val="nil"/>
            </w:tcBorders>
            <w:shd w:val="clear" w:color="auto" w:fill="FFFFFF"/>
            <w:vAlign w:val="bottom"/>
          </w:tcPr>
          <w:p w14:paraId="0966E2EF" w14:textId="126B8AC9" w:rsidR="00F00A3F" w:rsidRPr="00120309" w:rsidRDefault="009D2AB4" w:rsidP="00F00A3F">
            <w:pPr>
              <w:jc w:val="right"/>
              <w:rPr>
                <w:rFonts w:asciiTheme="minorHAnsi" w:hAnsiTheme="minorHAnsi" w:cstheme="minorHAnsi"/>
                <w:color w:val="000000" w:themeColor="text1"/>
                <w:szCs w:val="20"/>
              </w:rPr>
            </w:pPr>
            <w:r>
              <w:rPr>
                <w:color w:val="000000" w:themeColor="text1"/>
                <w:szCs w:val="20"/>
                <w:lang w:val="ru-RU"/>
              </w:rPr>
              <w:t>394</w:t>
            </w:r>
            <w:r w:rsidR="00F00A3F" w:rsidRPr="00120309">
              <w:rPr>
                <w:color w:val="000000" w:themeColor="text1"/>
                <w:szCs w:val="20"/>
              </w:rPr>
              <w:t xml:space="preserve"> </w:t>
            </w:r>
          </w:p>
        </w:tc>
        <w:tc>
          <w:tcPr>
            <w:tcW w:w="1070" w:type="pct"/>
            <w:tcBorders>
              <w:top w:val="nil"/>
              <w:left w:val="nil"/>
              <w:bottom w:val="nil"/>
              <w:right w:val="nil"/>
            </w:tcBorders>
            <w:shd w:val="clear" w:color="auto" w:fill="FFFFFF"/>
            <w:vAlign w:val="bottom"/>
          </w:tcPr>
          <w:p w14:paraId="4B1CADA9" w14:textId="7DEC2A2B"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rPr>
              <w:t xml:space="preserve">1 944 </w:t>
            </w:r>
          </w:p>
        </w:tc>
      </w:tr>
      <w:tr w:rsidR="00F00A3F" w:rsidRPr="00120309" w14:paraId="0A54A21D" w14:textId="77777777" w:rsidTr="00B10862">
        <w:trPr>
          <w:trHeight w:val="255"/>
        </w:trPr>
        <w:tc>
          <w:tcPr>
            <w:tcW w:w="2861" w:type="pct"/>
            <w:tcBorders>
              <w:top w:val="nil"/>
              <w:left w:val="nil"/>
              <w:bottom w:val="nil"/>
              <w:right w:val="nil"/>
            </w:tcBorders>
            <w:shd w:val="clear" w:color="auto" w:fill="FFFFFF"/>
            <w:vAlign w:val="bottom"/>
          </w:tcPr>
          <w:p w14:paraId="5B017BEA" w14:textId="12AAE821"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t>Сировина й матеріали</w:t>
            </w:r>
          </w:p>
        </w:tc>
        <w:tc>
          <w:tcPr>
            <w:tcW w:w="1069" w:type="pct"/>
            <w:tcBorders>
              <w:top w:val="nil"/>
              <w:left w:val="nil"/>
              <w:bottom w:val="nil"/>
              <w:right w:val="nil"/>
            </w:tcBorders>
            <w:shd w:val="clear" w:color="auto" w:fill="FFFFFF"/>
            <w:vAlign w:val="bottom"/>
          </w:tcPr>
          <w:p w14:paraId="62FBB4AB" w14:textId="65F166ED" w:rsidR="00F00A3F" w:rsidRPr="00120309" w:rsidRDefault="009D2AB4" w:rsidP="00F00A3F">
            <w:pPr>
              <w:jc w:val="right"/>
              <w:rPr>
                <w:rFonts w:asciiTheme="minorHAnsi" w:hAnsiTheme="minorHAnsi" w:cstheme="minorHAnsi"/>
                <w:color w:val="000000" w:themeColor="text1"/>
                <w:szCs w:val="20"/>
              </w:rPr>
            </w:pPr>
            <w:r>
              <w:rPr>
                <w:color w:val="000000" w:themeColor="text1"/>
                <w:szCs w:val="20"/>
              </w:rPr>
              <w:t>212 918</w:t>
            </w:r>
            <w:r w:rsidR="00F00A3F" w:rsidRPr="00120309">
              <w:rPr>
                <w:color w:val="000000" w:themeColor="text1"/>
                <w:szCs w:val="20"/>
              </w:rPr>
              <w:t xml:space="preserve"> </w:t>
            </w:r>
          </w:p>
        </w:tc>
        <w:tc>
          <w:tcPr>
            <w:tcW w:w="1070" w:type="pct"/>
            <w:tcBorders>
              <w:top w:val="nil"/>
              <w:left w:val="nil"/>
              <w:bottom w:val="nil"/>
              <w:right w:val="nil"/>
            </w:tcBorders>
            <w:shd w:val="clear" w:color="auto" w:fill="FFFFFF"/>
            <w:vAlign w:val="bottom"/>
          </w:tcPr>
          <w:p w14:paraId="6D4EFD34" w14:textId="65A1FE41"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rPr>
              <w:t xml:space="preserve">189 427 </w:t>
            </w:r>
          </w:p>
        </w:tc>
      </w:tr>
      <w:tr w:rsidR="00F00A3F" w:rsidRPr="00120309" w14:paraId="3F7925C1" w14:textId="77777777" w:rsidTr="00D7764E">
        <w:trPr>
          <w:trHeight w:val="255"/>
        </w:trPr>
        <w:tc>
          <w:tcPr>
            <w:tcW w:w="2861" w:type="pct"/>
            <w:tcBorders>
              <w:top w:val="nil"/>
              <w:left w:val="nil"/>
              <w:bottom w:val="nil"/>
              <w:right w:val="nil"/>
            </w:tcBorders>
            <w:shd w:val="clear" w:color="auto" w:fill="FFFFFF"/>
            <w:vAlign w:val="bottom"/>
          </w:tcPr>
          <w:p w14:paraId="6BDBED80" w14:textId="2DEEDB6B"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lastRenderedPageBreak/>
              <w:t>Незавершене виробництво</w:t>
            </w:r>
          </w:p>
        </w:tc>
        <w:tc>
          <w:tcPr>
            <w:tcW w:w="1069" w:type="pct"/>
            <w:tcBorders>
              <w:top w:val="nil"/>
              <w:left w:val="nil"/>
              <w:bottom w:val="nil"/>
              <w:right w:val="nil"/>
            </w:tcBorders>
            <w:shd w:val="clear" w:color="auto" w:fill="auto"/>
            <w:vAlign w:val="bottom"/>
          </w:tcPr>
          <w:p w14:paraId="6F3345D4" w14:textId="6C39DE94" w:rsidR="00F00A3F" w:rsidRPr="00120309" w:rsidRDefault="009D2AB4" w:rsidP="00F00A3F">
            <w:pPr>
              <w:jc w:val="right"/>
              <w:rPr>
                <w:rFonts w:asciiTheme="minorHAnsi" w:hAnsiTheme="minorHAnsi" w:cstheme="minorHAnsi"/>
                <w:color w:val="000000" w:themeColor="text1"/>
                <w:szCs w:val="20"/>
              </w:rPr>
            </w:pPr>
            <w:r>
              <w:rPr>
                <w:color w:val="000000" w:themeColor="text1"/>
                <w:szCs w:val="20"/>
                <w:lang w:val="ru-RU"/>
              </w:rPr>
              <w:t>99 326</w:t>
            </w:r>
            <w:r w:rsidR="00F00A3F" w:rsidRPr="00120309">
              <w:rPr>
                <w:color w:val="000000" w:themeColor="text1"/>
                <w:szCs w:val="20"/>
              </w:rPr>
              <w:t xml:space="preserve"> </w:t>
            </w:r>
          </w:p>
        </w:tc>
        <w:tc>
          <w:tcPr>
            <w:tcW w:w="1070" w:type="pct"/>
            <w:tcBorders>
              <w:top w:val="nil"/>
              <w:left w:val="nil"/>
              <w:bottom w:val="nil"/>
              <w:right w:val="nil"/>
            </w:tcBorders>
            <w:shd w:val="clear" w:color="auto" w:fill="FFFFFF"/>
            <w:vAlign w:val="bottom"/>
          </w:tcPr>
          <w:p w14:paraId="1D0AB973" w14:textId="5B8F13F2"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lang w:val="ru-RU"/>
              </w:rPr>
              <w:t>97 217</w:t>
            </w:r>
            <w:r w:rsidRPr="00120309">
              <w:rPr>
                <w:color w:val="000000" w:themeColor="text1"/>
                <w:szCs w:val="20"/>
              </w:rPr>
              <w:t xml:space="preserve"> </w:t>
            </w:r>
          </w:p>
        </w:tc>
      </w:tr>
      <w:tr w:rsidR="00F00A3F" w:rsidRPr="00120309" w14:paraId="7501E224" w14:textId="77777777" w:rsidTr="00D7764E">
        <w:trPr>
          <w:trHeight w:val="255"/>
        </w:trPr>
        <w:tc>
          <w:tcPr>
            <w:tcW w:w="2861" w:type="pct"/>
            <w:tcBorders>
              <w:top w:val="nil"/>
              <w:left w:val="nil"/>
              <w:bottom w:val="nil"/>
              <w:right w:val="nil"/>
            </w:tcBorders>
            <w:shd w:val="clear" w:color="auto" w:fill="FFFFFF"/>
            <w:vAlign w:val="bottom"/>
          </w:tcPr>
          <w:p w14:paraId="25AA20B3" w14:textId="320EE710"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t>Пальне</w:t>
            </w:r>
          </w:p>
        </w:tc>
        <w:tc>
          <w:tcPr>
            <w:tcW w:w="1069" w:type="pct"/>
            <w:tcBorders>
              <w:top w:val="nil"/>
              <w:left w:val="nil"/>
              <w:bottom w:val="nil"/>
              <w:right w:val="nil"/>
            </w:tcBorders>
            <w:shd w:val="clear" w:color="auto" w:fill="auto"/>
            <w:vAlign w:val="bottom"/>
          </w:tcPr>
          <w:p w14:paraId="0AB546BA" w14:textId="720C105F" w:rsidR="00F00A3F" w:rsidRPr="00120309" w:rsidRDefault="00F00A3F" w:rsidP="0084042C">
            <w:pPr>
              <w:jc w:val="right"/>
              <w:rPr>
                <w:rFonts w:asciiTheme="minorHAnsi" w:hAnsiTheme="minorHAnsi" w:cstheme="minorHAnsi"/>
                <w:color w:val="000000" w:themeColor="text1"/>
                <w:szCs w:val="20"/>
              </w:rPr>
            </w:pPr>
            <w:r w:rsidRPr="00120309">
              <w:rPr>
                <w:color w:val="000000" w:themeColor="text1"/>
                <w:szCs w:val="20"/>
              </w:rPr>
              <w:t>2</w:t>
            </w:r>
            <w:r w:rsidR="0084042C" w:rsidRPr="00120309">
              <w:rPr>
                <w:color w:val="000000" w:themeColor="text1"/>
                <w:szCs w:val="20"/>
              </w:rPr>
              <w:t>18</w:t>
            </w:r>
            <w:r w:rsidRPr="00120309">
              <w:rPr>
                <w:color w:val="000000" w:themeColor="text1"/>
                <w:szCs w:val="20"/>
              </w:rPr>
              <w:t xml:space="preserve"> </w:t>
            </w:r>
          </w:p>
        </w:tc>
        <w:tc>
          <w:tcPr>
            <w:tcW w:w="1070" w:type="pct"/>
            <w:tcBorders>
              <w:top w:val="nil"/>
              <w:left w:val="nil"/>
              <w:bottom w:val="nil"/>
              <w:right w:val="nil"/>
            </w:tcBorders>
            <w:shd w:val="clear" w:color="auto" w:fill="FFFFFF"/>
            <w:vAlign w:val="bottom"/>
          </w:tcPr>
          <w:p w14:paraId="6766FCEC" w14:textId="7C18BED4"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rPr>
              <w:t xml:space="preserve">257 </w:t>
            </w:r>
          </w:p>
        </w:tc>
      </w:tr>
      <w:tr w:rsidR="00F00A3F" w:rsidRPr="00120309" w14:paraId="4D39310A" w14:textId="77777777" w:rsidTr="00D7764E">
        <w:trPr>
          <w:trHeight w:val="255"/>
        </w:trPr>
        <w:tc>
          <w:tcPr>
            <w:tcW w:w="2861" w:type="pct"/>
            <w:tcBorders>
              <w:top w:val="nil"/>
              <w:left w:val="nil"/>
              <w:bottom w:val="nil"/>
              <w:right w:val="nil"/>
            </w:tcBorders>
            <w:shd w:val="clear" w:color="auto" w:fill="FFFFFF"/>
            <w:vAlign w:val="bottom"/>
          </w:tcPr>
          <w:p w14:paraId="644D7B4F" w14:textId="2FB16488"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t>Запасні частини</w:t>
            </w:r>
          </w:p>
        </w:tc>
        <w:tc>
          <w:tcPr>
            <w:tcW w:w="1069" w:type="pct"/>
            <w:tcBorders>
              <w:top w:val="nil"/>
              <w:left w:val="nil"/>
              <w:bottom w:val="nil"/>
              <w:right w:val="nil"/>
            </w:tcBorders>
            <w:shd w:val="clear" w:color="auto" w:fill="auto"/>
            <w:vAlign w:val="bottom"/>
          </w:tcPr>
          <w:p w14:paraId="0B8065D6" w14:textId="76E5719C" w:rsidR="00F00A3F" w:rsidRPr="00120309" w:rsidRDefault="009D2AB4" w:rsidP="00F00A3F">
            <w:pPr>
              <w:jc w:val="right"/>
              <w:rPr>
                <w:rFonts w:asciiTheme="minorHAnsi" w:hAnsiTheme="minorHAnsi" w:cstheme="minorHAnsi"/>
                <w:color w:val="000000" w:themeColor="text1"/>
                <w:szCs w:val="20"/>
              </w:rPr>
            </w:pPr>
            <w:r>
              <w:rPr>
                <w:color w:val="000000" w:themeColor="text1"/>
                <w:szCs w:val="20"/>
              </w:rPr>
              <w:t>27 831</w:t>
            </w:r>
            <w:r w:rsidR="00F00A3F" w:rsidRPr="00120309">
              <w:rPr>
                <w:color w:val="000000" w:themeColor="text1"/>
                <w:szCs w:val="20"/>
              </w:rPr>
              <w:t xml:space="preserve"> </w:t>
            </w:r>
          </w:p>
        </w:tc>
        <w:tc>
          <w:tcPr>
            <w:tcW w:w="1070" w:type="pct"/>
            <w:tcBorders>
              <w:top w:val="nil"/>
              <w:left w:val="nil"/>
              <w:bottom w:val="nil"/>
              <w:right w:val="nil"/>
            </w:tcBorders>
            <w:shd w:val="clear" w:color="auto" w:fill="FFFFFF"/>
            <w:vAlign w:val="bottom"/>
          </w:tcPr>
          <w:p w14:paraId="57CF77F1" w14:textId="135B8B56"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rPr>
              <w:t xml:space="preserve">24 138 </w:t>
            </w:r>
          </w:p>
        </w:tc>
      </w:tr>
      <w:tr w:rsidR="00F00A3F" w:rsidRPr="00120309" w14:paraId="167D89D9" w14:textId="77777777" w:rsidTr="00D7764E">
        <w:trPr>
          <w:trHeight w:val="255"/>
        </w:trPr>
        <w:tc>
          <w:tcPr>
            <w:tcW w:w="2861" w:type="pct"/>
            <w:tcBorders>
              <w:top w:val="nil"/>
              <w:left w:val="nil"/>
              <w:bottom w:val="nil"/>
              <w:right w:val="nil"/>
            </w:tcBorders>
            <w:shd w:val="clear" w:color="auto" w:fill="FFFFFF"/>
            <w:vAlign w:val="bottom"/>
          </w:tcPr>
          <w:p w14:paraId="261B3A54" w14:textId="77777777" w:rsidR="00F00A3F" w:rsidRPr="00120309" w:rsidRDefault="00F00A3F" w:rsidP="00F00A3F">
            <w:pPr>
              <w:jc w:val="left"/>
              <w:rPr>
                <w:rFonts w:asciiTheme="minorHAnsi" w:hAnsiTheme="minorHAnsi" w:cstheme="minorHAnsi"/>
                <w:color w:val="000000" w:themeColor="text1"/>
                <w:szCs w:val="20"/>
              </w:rPr>
            </w:pPr>
            <w:r w:rsidRPr="00120309">
              <w:rPr>
                <w:rFonts w:asciiTheme="minorHAnsi" w:hAnsiTheme="minorHAnsi" w:cstheme="minorHAnsi"/>
                <w:color w:val="000000" w:themeColor="text1"/>
                <w:szCs w:val="20"/>
              </w:rPr>
              <w:t>Інші</w:t>
            </w:r>
          </w:p>
        </w:tc>
        <w:tc>
          <w:tcPr>
            <w:tcW w:w="1069" w:type="pct"/>
            <w:tcBorders>
              <w:top w:val="nil"/>
              <w:left w:val="nil"/>
              <w:bottom w:val="nil"/>
              <w:right w:val="nil"/>
            </w:tcBorders>
            <w:shd w:val="clear" w:color="auto" w:fill="auto"/>
            <w:vAlign w:val="bottom"/>
          </w:tcPr>
          <w:p w14:paraId="7D997F5B" w14:textId="53FFDC63" w:rsidR="00F00A3F" w:rsidRPr="00120309" w:rsidRDefault="009D2AB4" w:rsidP="00622D90">
            <w:pPr>
              <w:jc w:val="right"/>
              <w:rPr>
                <w:rFonts w:asciiTheme="minorHAnsi" w:hAnsiTheme="minorHAnsi" w:cstheme="minorHAnsi"/>
                <w:color w:val="000000" w:themeColor="text1"/>
                <w:szCs w:val="20"/>
              </w:rPr>
            </w:pPr>
            <w:r>
              <w:rPr>
                <w:color w:val="000000" w:themeColor="text1"/>
                <w:szCs w:val="20"/>
                <w:lang w:val="ru-RU"/>
              </w:rPr>
              <w:t>25 707</w:t>
            </w:r>
            <w:r w:rsidR="00F00A3F" w:rsidRPr="00120309">
              <w:rPr>
                <w:color w:val="000000" w:themeColor="text1"/>
                <w:szCs w:val="20"/>
              </w:rPr>
              <w:t xml:space="preserve"> </w:t>
            </w:r>
          </w:p>
        </w:tc>
        <w:tc>
          <w:tcPr>
            <w:tcW w:w="1070" w:type="pct"/>
            <w:tcBorders>
              <w:top w:val="nil"/>
              <w:left w:val="nil"/>
              <w:bottom w:val="nil"/>
              <w:right w:val="nil"/>
            </w:tcBorders>
            <w:shd w:val="clear" w:color="auto" w:fill="FFFFFF"/>
            <w:vAlign w:val="bottom"/>
          </w:tcPr>
          <w:p w14:paraId="04B7B3E8" w14:textId="40EE7AB6" w:rsidR="00F00A3F" w:rsidRPr="00120309" w:rsidRDefault="00F00A3F" w:rsidP="00F00A3F">
            <w:pPr>
              <w:jc w:val="right"/>
              <w:rPr>
                <w:rFonts w:asciiTheme="minorHAnsi" w:hAnsiTheme="minorHAnsi" w:cstheme="minorHAnsi"/>
                <w:color w:val="000000" w:themeColor="text1"/>
                <w:szCs w:val="20"/>
              </w:rPr>
            </w:pPr>
            <w:r w:rsidRPr="00120309">
              <w:rPr>
                <w:color w:val="000000" w:themeColor="text1"/>
                <w:szCs w:val="20"/>
              </w:rPr>
              <w:t xml:space="preserve">23 </w:t>
            </w:r>
            <w:r w:rsidRPr="00120309">
              <w:rPr>
                <w:color w:val="000000" w:themeColor="text1"/>
                <w:szCs w:val="20"/>
                <w:lang w:val="ru-RU"/>
              </w:rPr>
              <w:t>830</w:t>
            </w:r>
            <w:r w:rsidRPr="00120309">
              <w:rPr>
                <w:color w:val="000000" w:themeColor="text1"/>
                <w:szCs w:val="20"/>
              </w:rPr>
              <w:t xml:space="preserve"> </w:t>
            </w:r>
          </w:p>
        </w:tc>
      </w:tr>
      <w:tr w:rsidR="00F00A3F" w:rsidRPr="009D2AB4" w14:paraId="39055BB1" w14:textId="77777777" w:rsidTr="00B10862">
        <w:trPr>
          <w:trHeight w:val="255"/>
        </w:trPr>
        <w:tc>
          <w:tcPr>
            <w:tcW w:w="2861" w:type="pct"/>
            <w:tcBorders>
              <w:top w:val="single" w:sz="4" w:space="0" w:color="auto"/>
              <w:left w:val="nil"/>
              <w:bottom w:val="nil"/>
              <w:right w:val="nil"/>
            </w:tcBorders>
            <w:shd w:val="clear" w:color="auto" w:fill="FFFFFF"/>
            <w:noWrap/>
            <w:vAlign w:val="bottom"/>
          </w:tcPr>
          <w:p w14:paraId="691E1702" w14:textId="77777777" w:rsidR="00F00A3F" w:rsidRPr="009D2AB4" w:rsidRDefault="00F00A3F" w:rsidP="00F00A3F">
            <w:pPr>
              <w:jc w:val="left"/>
              <w:rPr>
                <w:rFonts w:asciiTheme="minorHAnsi" w:hAnsiTheme="minorHAnsi" w:cstheme="minorHAnsi"/>
                <w:b/>
                <w:bCs/>
                <w:color w:val="000000" w:themeColor="text1"/>
                <w:szCs w:val="20"/>
              </w:rPr>
            </w:pPr>
            <w:r w:rsidRPr="009D2AB4">
              <w:rPr>
                <w:rFonts w:asciiTheme="minorHAnsi" w:hAnsiTheme="minorHAnsi" w:cstheme="minorHAnsi"/>
                <w:b/>
                <w:bCs/>
                <w:color w:val="000000" w:themeColor="text1"/>
                <w:szCs w:val="20"/>
              </w:rPr>
              <w:t>Разом:</w:t>
            </w:r>
          </w:p>
        </w:tc>
        <w:tc>
          <w:tcPr>
            <w:tcW w:w="1069" w:type="pct"/>
            <w:tcBorders>
              <w:top w:val="single" w:sz="4" w:space="0" w:color="auto"/>
              <w:left w:val="nil"/>
              <w:bottom w:val="nil"/>
              <w:right w:val="nil"/>
            </w:tcBorders>
            <w:shd w:val="clear" w:color="auto" w:fill="FFFFFF"/>
            <w:vAlign w:val="bottom"/>
          </w:tcPr>
          <w:p w14:paraId="42658503" w14:textId="6681DE37" w:rsidR="00F00A3F" w:rsidRPr="009D2AB4" w:rsidRDefault="00622D90" w:rsidP="00F00A3F">
            <w:pPr>
              <w:jc w:val="right"/>
              <w:rPr>
                <w:rFonts w:asciiTheme="minorHAnsi" w:hAnsiTheme="minorHAnsi" w:cstheme="minorHAnsi"/>
                <w:b/>
                <w:bCs/>
                <w:color w:val="000000" w:themeColor="text1"/>
                <w:szCs w:val="20"/>
              </w:rPr>
            </w:pPr>
            <w:r w:rsidRPr="009D2AB4">
              <w:rPr>
                <w:b/>
                <w:bCs/>
                <w:color w:val="000000" w:themeColor="text1"/>
                <w:szCs w:val="20"/>
              </w:rPr>
              <w:t>445 311</w:t>
            </w:r>
          </w:p>
        </w:tc>
        <w:tc>
          <w:tcPr>
            <w:tcW w:w="1070" w:type="pct"/>
            <w:tcBorders>
              <w:top w:val="single" w:sz="4" w:space="0" w:color="auto"/>
              <w:left w:val="nil"/>
              <w:bottom w:val="nil"/>
              <w:right w:val="nil"/>
            </w:tcBorders>
            <w:shd w:val="clear" w:color="auto" w:fill="FFFFFF"/>
            <w:vAlign w:val="bottom"/>
          </w:tcPr>
          <w:p w14:paraId="4BACA366" w14:textId="7B6A1B4E" w:rsidR="00F00A3F" w:rsidRPr="009D2AB4" w:rsidRDefault="00F00A3F" w:rsidP="00F00A3F">
            <w:pPr>
              <w:jc w:val="right"/>
              <w:rPr>
                <w:rFonts w:asciiTheme="minorHAnsi" w:hAnsiTheme="minorHAnsi" w:cstheme="minorHAnsi"/>
                <w:b/>
                <w:bCs/>
                <w:color w:val="000000" w:themeColor="text1"/>
                <w:szCs w:val="20"/>
              </w:rPr>
            </w:pPr>
            <w:r w:rsidRPr="009D2AB4">
              <w:rPr>
                <w:b/>
                <w:bCs/>
                <w:color w:val="000000" w:themeColor="text1"/>
                <w:szCs w:val="20"/>
              </w:rPr>
              <w:t xml:space="preserve">369 327 </w:t>
            </w:r>
          </w:p>
        </w:tc>
      </w:tr>
    </w:tbl>
    <w:p w14:paraId="1D9B74C3" w14:textId="234119FD" w:rsidR="0055284B" w:rsidRPr="009D2AB4" w:rsidRDefault="0055284B" w:rsidP="00F35172">
      <w:pPr>
        <w:pStyle w:val="af7"/>
        <w:spacing w:before="240"/>
        <w:rPr>
          <w:color w:val="000000" w:themeColor="text1"/>
          <w:szCs w:val="20"/>
        </w:rPr>
      </w:pPr>
      <w:r w:rsidRPr="009D2AB4">
        <w:rPr>
          <w:color w:val="000000" w:themeColor="text1"/>
        </w:rPr>
        <w:t xml:space="preserve">У звітному періоді на витрати було віднесено запасів на загальну суму </w:t>
      </w:r>
      <w:r w:rsidR="009D2AB4" w:rsidRPr="009D2AB4">
        <w:rPr>
          <w:color w:val="000000" w:themeColor="text1"/>
        </w:rPr>
        <w:t>385 581</w:t>
      </w:r>
      <w:r w:rsidRPr="009D2AB4">
        <w:rPr>
          <w:color w:val="000000" w:themeColor="text1"/>
        </w:rPr>
        <w:t xml:space="preserve"> тис. </w:t>
      </w:r>
      <w:r w:rsidR="00623B7B" w:rsidRPr="009D2AB4">
        <w:rPr>
          <w:color w:val="000000" w:themeColor="text1"/>
        </w:rPr>
        <w:t>грн</w:t>
      </w:r>
      <w:r w:rsidRPr="009D2AB4">
        <w:rPr>
          <w:color w:val="000000" w:themeColor="text1"/>
        </w:rPr>
        <w:t xml:space="preserve"> (за рік, що закінчився 31.12.201</w:t>
      </w:r>
      <w:r w:rsidR="009D2AB4" w:rsidRPr="009D2AB4">
        <w:rPr>
          <w:color w:val="000000" w:themeColor="text1"/>
        </w:rPr>
        <w:t>9 -</w:t>
      </w:r>
      <w:r w:rsidRPr="009D2AB4">
        <w:rPr>
          <w:color w:val="000000" w:themeColor="text1"/>
        </w:rPr>
        <w:t xml:space="preserve"> </w:t>
      </w:r>
      <w:r w:rsidR="009D2AB4" w:rsidRPr="009D2AB4">
        <w:rPr>
          <w:color w:val="000000" w:themeColor="text1"/>
        </w:rPr>
        <w:t xml:space="preserve">551 749 </w:t>
      </w:r>
      <w:r w:rsidRPr="009D2AB4">
        <w:rPr>
          <w:color w:val="000000" w:themeColor="text1"/>
        </w:rPr>
        <w:t xml:space="preserve">тис. </w:t>
      </w:r>
      <w:r w:rsidR="00623B7B" w:rsidRPr="009D2AB4">
        <w:rPr>
          <w:color w:val="000000" w:themeColor="text1"/>
        </w:rPr>
        <w:t>грн</w:t>
      </w:r>
      <w:r w:rsidRPr="009D2AB4">
        <w:rPr>
          <w:color w:val="000000" w:themeColor="text1"/>
        </w:rPr>
        <w:t>).</w:t>
      </w:r>
    </w:p>
    <w:p w14:paraId="6FDB200C" w14:textId="1CA0C16D" w:rsidR="0055284B" w:rsidRPr="005937F9" w:rsidRDefault="00BB2D11" w:rsidP="00AE0CFA">
      <w:pPr>
        <w:pStyle w:val="af7"/>
        <w:rPr>
          <w:color w:val="000000" w:themeColor="text1"/>
          <w:szCs w:val="20"/>
        </w:rPr>
      </w:pPr>
      <w:r w:rsidRPr="00F00A3F">
        <w:rPr>
          <w:color w:val="000000" w:themeColor="text1"/>
          <w:szCs w:val="20"/>
        </w:rPr>
        <w:t xml:space="preserve">Станом </w:t>
      </w:r>
      <w:r w:rsidRPr="005937F9">
        <w:rPr>
          <w:color w:val="000000" w:themeColor="text1"/>
          <w:szCs w:val="20"/>
        </w:rPr>
        <w:t>на 31.12.20</w:t>
      </w:r>
      <w:r w:rsidR="00F00A3F" w:rsidRPr="005937F9">
        <w:rPr>
          <w:color w:val="000000" w:themeColor="text1"/>
          <w:szCs w:val="20"/>
          <w:lang w:val="ru-RU"/>
        </w:rPr>
        <w:t>20</w:t>
      </w:r>
      <w:r w:rsidRPr="005937F9">
        <w:rPr>
          <w:color w:val="000000" w:themeColor="text1"/>
          <w:szCs w:val="20"/>
        </w:rPr>
        <w:t xml:space="preserve"> року запаси у заставі </w:t>
      </w:r>
      <w:r w:rsidR="00A464CA" w:rsidRPr="005937F9">
        <w:rPr>
          <w:color w:val="000000" w:themeColor="text1"/>
          <w:szCs w:val="20"/>
        </w:rPr>
        <w:t xml:space="preserve">відсутні. </w:t>
      </w:r>
    </w:p>
    <w:p w14:paraId="446969F0" w14:textId="7E4769A4" w:rsidR="00920BA5" w:rsidRPr="005937F9" w:rsidRDefault="00462939" w:rsidP="00040330">
      <w:pPr>
        <w:pStyle w:val="1"/>
        <w:rPr>
          <w:color w:val="000000" w:themeColor="text1"/>
          <w:szCs w:val="20"/>
        </w:rPr>
      </w:pPr>
      <w:bookmarkStart w:id="113" w:name="_Toc475007906"/>
      <w:bookmarkStart w:id="114" w:name="_Toc475522353"/>
      <w:bookmarkStart w:id="115" w:name="_Toc68253967"/>
      <w:r w:rsidRPr="005937F9">
        <w:rPr>
          <w:color w:val="000000" w:themeColor="text1"/>
          <w:szCs w:val="20"/>
        </w:rPr>
        <w:t>Торг</w:t>
      </w:r>
      <w:r w:rsidR="0064297D" w:rsidRPr="005937F9">
        <w:rPr>
          <w:color w:val="000000" w:themeColor="text1"/>
          <w:szCs w:val="20"/>
          <w:lang w:val="ru-RU"/>
        </w:rPr>
        <w:t>о</w:t>
      </w:r>
      <w:r w:rsidRPr="005937F9">
        <w:rPr>
          <w:color w:val="000000" w:themeColor="text1"/>
          <w:szCs w:val="20"/>
        </w:rPr>
        <w:t>вельна та інша дебіторська заборгованість</w:t>
      </w:r>
      <w:bookmarkEnd w:id="113"/>
      <w:bookmarkEnd w:id="114"/>
      <w:bookmarkEnd w:id="115"/>
    </w:p>
    <w:tbl>
      <w:tblPr>
        <w:tblW w:w="5000" w:type="pct"/>
        <w:tblLook w:val="00A0" w:firstRow="1" w:lastRow="0" w:firstColumn="1" w:lastColumn="0" w:noHBand="0" w:noVBand="0"/>
      </w:tblPr>
      <w:tblGrid>
        <w:gridCol w:w="5515"/>
        <w:gridCol w:w="2060"/>
        <w:gridCol w:w="2062"/>
      </w:tblGrid>
      <w:tr w:rsidR="00A464CA" w:rsidRPr="005937F9" w14:paraId="57166E58" w14:textId="77777777" w:rsidTr="004E29E3">
        <w:trPr>
          <w:trHeight w:val="510"/>
          <w:tblHeader/>
        </w:trPr>
        <w:tc>
          <w:tcPr>
            <w:tcW w:w="2861" w:type="pct"/>
            <w:tcBorders>
              <w:left w:val="nil"/>
              <w:bottom w:val="single" w:sz="4" w:space="0" w:color="auto"/>
              <w:right w:val="nil"/>
            </w:tcBorders>
            <w:shd w:val="clear" w:color="auto" w:fill="FFFFFF"/>
            <w:vAlign w:val="center"/>
          </w:tcPr>
          <w:p w14:paraId="1B120683" w14:textId="04AD6D12" w:rsidR="004D00C1" w:rsidRPr="005937F9" w:rsidRDefault="004E29E3" w:rsidP="0064297D">
            <w:pPr>
              <w:jc w:val="left"/>
              <w:rPr>
                <w:rFonts w:asciiTheme="minorHAnsi" w:hAnsiTheme="minorHAnsi" w:cstheme="minorHAnsi"/>
                <w:b/>
                <w:bCs/>
                <w:color w:val="000000" w:themeColor="text1"/>
                <w:szCs w:val="20"/>
              </w:rPr>
            </w:pPr>
            <w:r w:rsidRPr="005937F9">
              <w:rPr>
                <w:rFonts w:asciiTheme="minorHAnsi" w:hAnsiTheme="minorHAnsi" w:cstheme="minorHAnsi"/>
                <w:b/>
                <w:bCs/>
                <w:color w:val="000000" w:themeColor="text1"/>
                <w:szCs w:val="20"/>
              </w:rPr>
              <w:t>14</w:t>
            </w:r>
            <w:r w:rsidR="004D00C1" w:rsidRPr="005937F9">
              <w:rPr>
                <w:rFonts w:asciiTheme="minorHAnsi" w:hAnsiTheme="minorHAnsi" w:cstheme="minorHAnsi"/>
                <w:b/>
                <w:bCs/>
                <w:color w:val="000000" w:themeColor="text1"/>
                <w:szCs w:val="20"/>
              </w:rPr>
              <w:t>.1 Торг</w:t>
            </w:r>
            <w:r w:rsidR="0064297D" w:rsidRPr="005937F9">
              <w:rPr>
                <w:rFonts w:asciiTheme="minorHAnsi" w:hAnsiTheme="minorHAnsi" w:cstheme="minorHAnsi"/>
                <w:b/>
                <w:bCs/>
                <w:color w:val="000000" w:themeColor="text1"/>
                <w:szCs w:val="20"/>
                <w:lang w:val="ru-RU"/>
              </w:rPr>
              <w:t>о</w:t>
            </w:r>
            <w:r w:rsidR="004D00C1" w:rsidRPr="005937F9">
              <w:rPr>
                <w:rFonts w:asciiTheme="minorHAnsi" w:hAnsiTheme="minorHAnsi" w:cstheme="minorHAnsi"/>
                <w:b/>
                <w:bCs/>
                <w:color w:val="000000" w:themeColor="text1"/>
                <w:szCs w:val="20"/>
              </w:rPr>
              <w:t>вельна дебіторська заборгованість у Звіті про фінансовий стан</w:t>
            </w:r>
          </w:p>
        </w:tc>
        <w:tc>
          <w:tcPr>
            <w:tcW w:w="1069" w:type="pct"/>
            <w:tcBorders>
              <w:left w:val="nil"/>
              <w:bottom w:val="nil"/>
              <w:right w:val="nil"/>
            </w:tcBorders>
            <w:shd w:val="clear" w:color="auto" w:fill="FFFFFF"/>
            <w:vAlign w:val="center"/>
          </w:tcPr>
          <w:p w14:paraId="1D909FC4" w14:textId="08E9354B" w:rsidR="004D00C1" w:rsidRPr="005937F9" w:rsidRDefault="004D00C1" w:rsidP="00040330">
            <w:pPr>
              <w:jc w:val="right"/>
              <w:rPr>
                <w:rFonts w:asciiTheme="minorHAnsi" w:hAnsiTheme="minorHAnsi" w:cstheme="minorHAnsi"/>
                <w:b/>
                <w:color w:val="000000" w:themeColor="text1"/>
                <w:szCs w:val="20"/>
              </w:rPr>
            </w:pPr>
            <w:r w:rsidRPr="005937F9">
              <w:rPr>
                <w:rFonts w:asciiTheme="minorHAnsi" w:hAnsiTheme="minorHAnsi" w:cstheme="minorHAnsi"/>
                <w:b/>
                <w:color w:val="000000" w:themeColor="text1"/>
                <w:szCs w:val="20"/>
              </w:rPr>
              <w:t>31.12.20</w:t>
            </w:r>
            <w:r w:rsidR="009D2AB4" w:rsidRPr="005937F9">
              <w:rPr>
                <w:rFonts w:asciiTheme="minorHAnsi" w:hAnsiTheme="minorHAnsi" w:cstheme="minorHAnsi"/>
                <w:b/>
                <w:color w:val="000000" w:themeColor="text1"/>
                <w:szCs w:val="20"/>
              </w:rPr>
              <w:t>20</w:t>
            </w:r>
          </w:p>
        </w:tc>
        <w:tc>
          <w:tcPr>
            <w:tcW w:w="1070" w:type="pct"/>
            <w:tcBorders>
              <w:left w:val="nil"/>
              <w:bottom w:val="nil"/>
              <w:right w:val="nil"/>
            </w:tcBorders>
            <w:shd w:val="clear" w:color="auto" w:fill="FFFFFF"/>
            <w:vAlign w:val="center"/>
          </w:tcPr>
          <w:p w14:paraId="504DE351" w14:textId="0FE7A022" w:rsidR="004D00C1" w:rsidRPr="005937F9" w:rsidRDefault="00E54561" w:rsidP="00040330">
            <w:pPr>
              <w:jc w:val="right"/>
              <w:rPr>
                <w:rFonts w:asciiTheme="minorHAnsi" w:hAnsiTheme="minorHAnsi" w:cstheme="minorHAnsi"/>
                <w:b/>
                <w:color w:val="000000" w:themeColor="text1"/>
                <w:szCs w:val="20"/>
              </w:rPr>
            </w:pPr>
            <w:r w:rsidRPr="005937F9">
              <w:rPr>
                <w:rFonts w:asciiTheme="minorHAnsi" w:hAnsiTheme="minorHAnsi" w:cstheme="minorHAnsi"/>
                <w:b/>
                <w:color w:val="000000" w:themeColor="text1"/>
                <w:szCs w:val="20"/>
              </w:rPr>
              <w:t>31.12.201</w:t>
            </w:r>
            <w:r w:rsidR="009D2AB4" w:rsidRPr="005937F9">
              <w:rPr>
                <w:rFonts w:asciiTheme="minorHAnsi" w:hAnsiTheme="minorHAnsi" w:cstheme="minorHAnsi"/>
                <w:b/>
                <w:color w:val="000000" w:themeColor="text1"/>
                <w:szCs w:val="20"/>
              </w:rPr>
              <w:t>9</w:t>
            </w:r>
          </w:p>
        </w:tc>
      </w:tr>
      <w:tr w:rsidR="009D2AB4" w:rsidRPr="005937F9" w14:paraId="414E2010" w14:textId="77777777" w:rsidTr="00397B1E">
        <w:trPr>
          <w:trHeight w:val="255"/>
        </w:trPr>
        <w:tc>
          <w:tcPr>
            <w:tcW w:w="2861" w:type="pct"/>
            <w:tcBorders>
              <w:top w:val="nil"/>
              <w:left w:val="nil"/>
              <w:right w:val="nil"/>
            </w:tcBorders>
            <w:shd w:val="clear" w:color="auto" w:fill="FFFFFF"/>
            <w:vAlign w:val="bottom"/>
          </w:tcPr>
          <w:p w14:paraId="12941098" w14:textId="77777777" w:rsidR="009D2AB4" w:rsidRPr="005937F9" w:rsidRDefault="009D2AB4" w:rsidP="009D2AB4">
            <w:pPr>
              <w:pStyle w:val="af7"/>
              <w:spacing w:before="0" w:after="0"/>
              <w:jc w:val="left"/>
              <w:rPr>
                <w:rFonts w:asciiTheme="minorHAnsi" w:hAnsiTheme="minorHAnsi" w:cstheme="minorHAnsi"/>
                <w:color w:val="000000" w:themeColor="text1"/>
                <w:szCs w:val="20"/>
              </w:rPr>
            </w:pPr>
            <w:r w:rsidRPr="005937F9">
              <w:rPr>
                <w:rFonts w:asciiTheme="minorHAnsi" w:hAnsiTheme="minorHAnsi" w:cstheme="minorHAnsi"/>
                <w:color w:val="000000" w:themeColor="text1"/>
                <w:szCs w:val="20"/>
              </w:rPr>
              <w:t>Дебіторська заборгованість покупців</w:t>
            </w:r>
          </w:p>
        </w:tc>
        <w:tc>
          <w:tcPr>
            <w:tcW w:w="1069" w:type="pct"/>
            <w:tcBorders>
              <w:top w:val="single" w:sz="4" w:space="0" w:color="auto"/>
              <w:left w:val="nil"/>
              <w:right w:val="nil"/>
            </w:tcBorders>
            <w:shd w:val="clear" w:color="auto" w:fill="FFFFFF"/>
            <w:vAlign w:val="bottom"/>
          </w:tcPr>
          <w:p w14:paraId="554D5CE7" w14:textId="3B1D6464" w:rsidR="009D2AB4" w:rsidRPr="005937F9" w:rsidRDefault="009D2AB4" w:rsidP="005937F9">
            <w:pPr>
              <w:jc w:val="right"/>
              <w:rPr>
                <w:rFonts w:asciiTheme="minorHAnsi" w:hAnsiTheme="minorHAnsi" w:cstheme="minorHAnsi"/>
                <w:color w:val="000000" w:themeColor="text1"/>
                <w:szCs w:val="20"/>
              </w:rPr>
            </w:pPr>
            <w:r w:rsidRPr="005937F9">
              <w:rPr>
                <w:color w:val="000000" w:themeColor="text1"/>
                <w:szCs w:val="20"/>
              </w:rPr>
              <w:t>1</w:t>
            </w:r>
            <w:r w:rsidR="005937F9" w:rsidRPr="005937F9">
              <w:rPr>
                <w:color w:val="000000" w:themeColor="text1"/>
                <w:szCs w:val="20"/>
              </w:rPr>
              <w:t> 621 537</w:t>
            </w:r>
            <w:r w:rsidRPr="005937F9">
              <w:rPr>
                <w:color w:val="000000" w:themeColor="text1"/>
                <w:szCs w:val="20"/>
              </w:rPr>
              <w:t xml:space="preserve"> </w:t>
            </w:r>
          </w:p>
        </w:tc>
        <w:tc>
          <w:tcPr>
            <w:tcW w:w="1070" w:type="pct"/>
            <w:tcBorders>
              <w:top w:val="single" w:sz="4" w:space="0" w:color="auto"/>
              <w:left w:val="nil"/>
              <w:right w:val="nil"/>
            </w:tcBorders>
            <w:shd w:val="clear" w:color="auto" w:fill="FFFFFF"/>
            <w:vAlign w:val="bottom"/>
          </w:tcPr>
          <w:p w14:paraId="13F1E0EA" w14:textId="6CB4A288" w:rsidR="009D2AB4" w:rsidRPr="005937F9" w:rsidRDefault="009D2AB4" w:rsidP="009D2AB4">
            <w:pPr>
              <w:jc w:val="right"/>
              <w:rPr>
                <w:rFonts w:asciiTheme="minorHAnsi" w:hAnsiTheme="minorHAnsi" w:cstheme="minorHAnsi"/>
                <w:color w:val="000000" w:themeColor="text1"/>
                <w:szCs w:val="20"/>
              </w:rPr>
            </w:pPr>
            <w:r w:rsidRPr="005937F9">
              <w:rPr>
                <w:color w:val="000000" w:themeColor="text1"/>
                <w:szCs w:val="20"/>
              </w:rPr>
              <w:t xml:space="preserve">1 581 909 </w:t>
            </w:r>
          </w:p>
        </w:tc>
      </w:tr>
      <w:tr w:rsidR="009D2AB4" w:rsidRPr="005937F9" w14:paraId="484218E7" w14:textId="77777777" w:rsidTr="00397B1E">
        <w:trPr>
          <w:trHeight w:val="255"/>
        </w:trPr>
        <w:tc>
          <w:tcPr>
            <w:tcW w:w="2861" w:type="pct"/>
            <w:tcBorders>
              <w:top w:val="nil"/>
              <w:left w:val="nil"/>
              <w:bottom w:val="single" w:sz="4" w:space="0" w:color="auto"/>
              <w:right w:val="nil"/>
            </w:tcBorders>
            <w:shd w:val="clear" w:color="auto" w:fill="FFFFFF"/>
            <w:vAlign w:val="bottom"/>
          </w:tcPr>
          <w:p w14:paraId="6D30E259" w14:textId="70DC8856" w:rsidR="009D2AB4" w:rsidRPr="005937F9" w:rsidRDefault="009D2AB4" w:rsidP="004B7218">
            <w:pPr>
              <w:pStyle w:val="af7"/>
              <w:spacing w:before="0" w:after="0"/>
              <w:jc w:val="left"/>
              <w:rPr>
                <w:rFonts w:asciiTheme="minorHAnsi" w:hAnsiTheme="minorHAnsi" w:cstheme="minorHAnsi"/>
                <w:color w:val="000000" w:themeColor="text1"/>
                <w:szCs w:val="20"/>
              </w:rPr>
            </w:pPr>
            <w:r w:rsidRPr="005937F9">
              <w:rPr>
                <w:rFonts w:asciiTheme="minorHAnsi" w:hAnsiTheme="minorHAnsi" w:cstheme="minorHAnsi"/>
                <w:color w:val="000000" w:themeColor="text1"/>
                <w:szCs w:val="20"/>
              </w:rPr>
              <w:t xml:space="preserve">Резерв </w:t>
            </w:r>
            <w:r w:rsidR="004B7218">
              <w:rPr>
                <w:rFonts w:asciiTheme="minorHAnsi" w:hAnsiTheme="minorHAnsi" w:cstheme="minorHAnsi"/>
                <w:color w:val="000000" w:themeColor="text1"/>
                <w:szCs w:val="20"/>
              </w:rPr>
              <w:t>під очікувані кредитні збитки</w:t>
            </w:r>
          </w:p>
        </w:tc>
        <w:tc>
          <w:tcPr>
            <w:tcW w:w="1069" w:type="pct"/>
            <w:tcBorders>
              <w:top w:val="nil"/>
              <w:left w:val="nil"/>
              <w:bottom w:val="single" w:sz="4" w:space="0" w:color="auto"/>
              <w:right w:val="nil"/>
            </w:tcBorders>
            <w:shd w:val="clear" w:color="auto" w:fill="FFFFFF"/>
            <w:vAlign w:val="bottom"/>
          </w:tcPr>
          <w:p w14:paraId="076856B0" w14:textId="3AEADF2D" w:rsidR="009D2AB4" w:rsidRPr="005937F9" w:rsidRDefault="009D2AB4" w:rsidP="005937F9">
            <w:pPr>
              <w:jc w:val="right"/>
              <w:rPr>
                <w:rFonts w:asciiTheme="minorHAnsi" w:hAnsiTheme="minorHAnsi" w:cstheme="minorHAnsi"/>
                <w:color w:val="000000" w:themeColor="text1"/>
                <w:szCs w:val="20"/>
              </w:rPr>
            </w:pPr>
            <w:r w:rsidRPr="005937F9">
              <w:rPr>
                <w:color w:val="000000" w:themeColor="text1"/>
                <w:szCs w:val="20"/>
              </w:rPr>
              <w:t>(</w:t>
            </w:r>
            <w:r w:rsidR="005937F9" w:rsidRPr="005937F9">
              <w:rPr>
                <w:color w:val="000000" w:themeColor="text1"/>
                <w:szCs w:val="20"/>
              </w:rPr>
              <w:t>167 467</w:t>
            </w:r>
            <w:r w:rsidRPr="005937F9">
              <w:rPr>
                <w:color w:val="000000" w:themeColor="text1"/>
                <w:szCs w:val="20"/>
              </w:rPr>
              <w:t>)</w:t>
            </w:r>
          </w:p>
        </w:tc>
        <w:tc>
          <w:tcPr>
            <w:tcW w:w="1070" w:type="pct"/>
            <w:tcBorders>
              <w:top w:val="nil"/>
              <w:left w:val="nil"/>
              <w:bottom w:val="single" w:sz="4" w:space="0" w:color="auto"/>
              <w:right w:val="nil"/>
            </w:tcBorders>
            <w:shd w:val="clear" w:color="auto" w:fill="FFFFFF"/>
            <w:vAlign w:val="bottom"/>
          </w:tcPr>
          <w:p w14:paraId="48D25635" w14:textId="7CC190BB" w:rsidR="009D2AB4" w:rsidRPr="005937F9" w:rsidRDefault="009D2AB4" w:rsidP="009D2AB4">
            <w:pPr>
              <w:jc w:val="right"/>
              <w:rPr>
                <w:rFonts w:asciiTheme="minorHAnsi" w:hAnsiTheme="minorHAnsi" w:cstheme="minorHAnsi"/>
                <w:color w:val="000000" w:themeColor="text1"/>
                <w:szCs w:val="20"/>
              </w:rPr>
            </w:pPr>
            <w:r w:rsidRPr="005937F9">
              <w:rPr>
                <w:color w:val="000000" w:themeColor="text1"/>
                <w:szCs w:val="20"/>
              </w:rPr>
              <w:t>(161 321)</w:t>
            </w:r>
          </w:p>
        </w:tc>
      </w:tr>
      <w:tr w:rsidR="009D2AB4" w:rsidRPr="005937F9" w14:paraId="1577E63A" w14:textId="77777777" w:rsidTr="00397B1E">
        <w:trPr>
          <w:trHeight w:val="255"/>
        </w:trPr>
        <w:tc>
          <w:tcPr>
            <w:tcW w:w="2861" w:type="pct"/>
            <w:tcBorders>
              <w:top w:val="single" w:sz="4" w:space="0" w:color="auto"/>
              <w:left w:val="nil"/>
              <w:bottom w:val="nil"/>
              <w:right w:val="nil"/>
            </w:tcBorders>
            <w:shd w:val="clear" w:color="auto" w:fill="FFFFFF"/>
            <w:noWrap/>
            <w:vAlign w:val="bottom"/>
          </w:tcPr>
          <w:p w14:paraId="2AC2341B" w14:textId="77777777" w:rsidR="009D2AB4" w:rsidRPr="005937F9" w:rsidRDefault="009D2AB4" w:rsidP="009D2AB4">
            <w:pPr>
              <w:jc w:val="left"/>
              <w:rPr>
                <w:rFonts w:asciiTheme="minorHAnsi" w:hAnsiTheme="minorHAnsi" w:cstheme="minorHAnsi"/>
                <w:b/>
                <w:bCs/>
                <w:color w:val="000000" w:themeColor="text1"/>
                <w:szCs w:val="20"/>
              </w:rPr>
            </w:pPr>
            <w:r w:rsidRPr="005937F9">
              <w:rPr>
                <w:rFonts w:asciiTheme="minorHAnsi" w:hAnsiTheme="minorHAnsi" w:cstheme="minorHAnsi"/>
                <w:b/>
                <w:bCs/>
                <w:color w:val="000000" w:themeColor="text1"/>
                <w:szCs w:val="20"/>
              </w:rPr>
              <w:t>Разом:</w:t>
            </w:r>
          </w:p>
        </w:tc>
        <w:tc>
          <w:tcPr>
            <w:tcW w:w="1069" w:type="pct"/>
            <w:tcBorders>
              <w:top w:val="single" w:sz="4" w:space="0" w:color="auto"/>
              <w:left w:val="nil"/>
              <w:bottom w:val="nil"/>
              <w:right w:val="nil"/>
            </w:tcBorders>
            <w:shd w:val="clear" w:color="auto" w:fill="FFFFFF"/>
            <w:vAlign w:val="bottom"/>
          </w:tcPr>
          <w:p w14:paraId="7755AFA5" w14:textId="2CE69C34" w:rsidR="009D2AB4" w:rsidRPr="005937F9" w:rsidRDefault="009D2AB4" w:rsidP="005937F9">
            <w:pPr>
              <w:jc w:val="right"/>
              <w:rPr>
                <w:rFonts w:asciiTheme="minorHAnsi" w:hAnsiTheme="minorHAnsi" w:cstheme="minorHAnsi"/>
                <w:b/>
                <w:bCs/>
                <w:color w:val="000000" w:themeColor="text1"/>
                <w:szCs w:val="20"/>
              </w:rPr>
            </w:pPr>
            <w:r w:rsidRPr="005937F9">
              <w:rPr>
                <w:b/>
                <w:bCs/>
                <w:color w:val="000000" w:themeColor="text1"/>
                <w:szCs w:val="20"/>
              </w:rPr>
              <w:t>1</w:t>
            </w:r>
            <w:r w:rsidR="005937F9" w:rsidRPr="005937F9">
              <w:rPr>
                <w:b/>
                <w:bCs/>
                <w:color w:val="000000" w:themeColor="text1"/>
                <w:szCs w:val="20"/>
              </w:rPr>
              <w:t> 454 070</w:t>
            </w:r>
            <w:r w:rsidRPr="005937F9">
              <w:rPr>
                <w:b/>
                <w:bCs/>
                <w:color w:val="000000" w:themeColor="text1"/>
                <w:szCs w:val="20"/>
              </w:rPr>
              <w:t xml:space="preserve"> </w:t>
            </w:r>
          </w:p>
        </w:tc>
        <w:tc>
          <w:tcPr>
            <w:tcW w:w="1070" w:type="pct"/>
            <w:tcBorders>
              <w:top w:val="single" w:sz="4" w:space="0" w:color="auto"/>
              <w:left w:val="nil"/>
              <w:bottom w:val="nil"/>
              <w:right w:val="nil"/>
            </w:tcBorders>
            <w:shd w:val="clear" w:color="auto" w:fill="FFFFFF"/>
            <w:vAlign w:val="bottom"/>
          </w:tcPr>
          <w:p w14:paraId="2D4043DB" w14:textId="59D6FDAB" w:rsidR="009D2AB4" w:rsidRPr="005937F9" w:rsidRDefault="009D2AB4" w:rsidP="009D2AB4">
            <w:pPr>
              <w:jc w:val="right"/>
              <w:rPr>
                <w:rFonts w:asciiTheme="minorHAnsi" w:hAnsiTheme="minorHAnsi" w:cstheme="minorHAnsi"/>
                <w:b/>
                <w:bCs/>
                <w:color w:val="000000" w:themeColor="text1"/>
                <w:szCs w:val="20"/>
              </w:rPr>
            </w:pPr>
            <w:r w:rsidRPr="005937F9">
              <w:rPr>
                <w:b/>
                <w:bCs/>
                <w:color w:val="000000" w:themeColor="text1"/>
                <w:szCs w:val="20"/>
              </w:rPr>
              <w:t xml:space="preserve">1 420 588 </w:t>
            </w:r>
          </w:p>
        </w:tc>
      </w:tr>
    </w:tbl>
    <w:p w14:paraId="0F74253D" w14:textId="1103C502" w:rsidR="00442BB3" w:rsidRPr="00D008D9" w:rsidRDefault="00040330" w:rsidP="00F835A1">
      <w:pPr>
        <w:pStyle w:val="af7"/>
        <w:rPr>
          <w:rFonts w:asciiTheme="minorHAnsi" w:hAnsiTheme="minorHAnsi" w:cstheme="minorHAnsi"/>
          <w:color w:val="auto"/>
        </w:rPr>
      </w:pPr>
      <w:r w:rsidRPr="005937F9">
        <w:rPr>
          <w:rFonts w:asciiTheme="minorHAnsi" w:hAnsiTheme="minorHAnsi" w:cstheme="minorHAnsi"/>
          <w:color w:val="auto"/>
        </w:rPr>
        <w:t>Торговельна дебіторська заборгованість, що облі</w:t>
      </w:r>
      <w:r w:rsidR="005937F9" w:rsidRPr="005937F9">
        <w:rPr>
          <w:rFonts w:asciiTheme="minorHAnsi" w:hAnsiTheme="minorHAnsi" w:cstheme="minorHAnsi"/>
          <w:color w:val="auto"/>
        </w:rPr>
        <w:t xml:space="preserve">ковується станом на 31.12.2020 </w:t>
      </w:r>
      <w:r w:rsidRPr="005937F9">
        <w:rPr>
          <w:rFonts w:asciiTheme="minorHAnsi" w:hAnsiTheme="minorHAnsi" w:cstheme="minorHAnsi"/>
          <w:color w:val="auto"/>
        </w:rPr>
        <w:t>в сумі 1 4</w:t>
      </w:r>
      <w:r w:rsidR="005937F9" w:rsidRPr="005937F9">
        <w:rPr>
          <w:rFonts w:asciiTheme="minorHAnsi" w:hAnsiTheme="minorHAnsi" w:cstheme="minorHAnsi"/>
          <w:color w:val="auto"/>
        </w:rPr>
        <w:t>54</w:t>
      </w:r>
      <w:r w:rsidRPr="005937F9">
        <w:rPr>
          <w:rFonts w:asciiTheme="minorHAnsi" w:hAnsiTheme="minorHAnsi" w:cstheme="minorHAnsi"/>
          <w:color w:val="auto"/>
        </w:rPr>
        <w:t> </w:t>
      </w:r>
      <w:r w:rsidR="005937F9" w:rsidRPr="005937F9">
        <w:rPr>
          <w:rFonts w:asciiTheme="minorHAnsi" w:hAnsiTheme="minorHAnsi" w:cstheme="minorHAnsi"/>
          <w:color w:val="auto"/>
        </w:rPr>
        <w:t>070 тис. грн. (станом на 31.12</w:t>
      </w:r>
      <w:r w:rsidR="005937F9" w:rsidRPr="00D008D9">
        <w:rPr>
          <w:rFonts w:asciiTheme="minorHAnsi" w:hAnsiTheme="minorHAnsi" w:cstheme="minorHAnsi"/>
          <w:color w:val="auto"/>
        </w:rPr>
        <w:t>.2019</w:t>
      </w:r>
      <w:r w:rsidR="002D4144" w:rsidRPr="00D008D9">
        <w:rPr>
          <w:rFonts w:asciiTheme="minorHAnsi" w:hAnsiTheme="minorHAnsi" w:cstheme="minorHAnsi"/>
          <w:color w:val="auto"/>
        </w:rPr>
        <w:t xml:space="preserve">: </w:t>
      </w:r>
      <w:r w:rsidR="005937F9" w:rsidRPr="00D008D9">
        <w:rPr>
          <w:rFonts w:asciiTheme="minorHAnsi" w:hAnsiTheme="minorHAnsi" w:cstheme="minorHAnsi"/>
          <w:color w:val="auto"/>
        </w:rPr>
        <w:t>1 420</w:t>
      </w:r>
      <w:r w:rsidRPr="00D008D9">
        <w:rPr>
          <w:rFonts w:asciiTheme="minorHAnsi" w:hAnsiTheme="minorHAnsi" w:cstheme="minorHAnsi"/>
          <w:color w:val="auto"/>
        </w:rPr>
        <w:t> </w:t>
      </w:r>
      <w:r w:rsidR="005937F9" w:rsidRPr="00D008D9">
        <w:rPr>
          <w:rFonts w:asciiTheme="minorHAnsi" w:hAnsiTheme="minorHAnsi" w:cstheme="minorHAnsi"/>
          <w:color w:val="auto"/>
        </w:rPr>
        <w:t>588</w:t>
      </w:r>
      <w:r w:rsidRPr="00D008D9">
        <w:rPr>
          <w:rFonts w:asciiTheme="minorHAnsi" w:hAnsiTheme="minorHAnsi" w:cstheme="minorHAnsi"/>
          <w:color w:val="auto"/>
        </w:rPr>
        <w:t xml:space="preserve"> тис. грн.)</w:t>
      </w:r>
      <w:r w:rsidR="00BF0FA9" w:rsidRPr="00D008D9">
        <w:rPr>
          <w:rFonts w:asciiTheme="minorHAnsi" w:hAnsiTheme="minorHAnsi" w:cstheme="minorHAnsi"/>
          <w:color w:val="auto"/>
        </w:rPr>
        <w:t>,</w:t>
      </w:r>
      <w:r w:rsidRPr="00D008D9">
        <w:rPr>
          <w:rFonts w:asciiTheme="minorHAnsi" w:hAnsiTheme="minorHAnsi" w:cstheme="minorHAnsi"/>
          <w:color w:val="auto"/>
        </w:rPr>
        <w:t xml:space="preserve"> не відноситься до простроченої.</w:t>
      </w:r>
    </w:p>
    <w:tbl>
      <w:tblPr>
        <w:tblW w:w="5001" w:type="pct"/>
        <w:tblLook w:val="00A0" w:firstRow="1" w:lastRow="0" w:firstColumn="1" w:lastColumn="0" w:noHBand="0" w:noVBand="0"/>
      </w:tblPr>
      <w:tblGrid>
        <w:gridCol w:w="5517"/>
        <w:gridCol w:w="2061"/>
        <w:gridCol w:w="2061"/>
      </w:tblGrid>
      <w:tr w:rsidR="003F1844" w:rsidRPr="00D008D9" w14:paraId="43C99788" w14:textId="77777777" w:rsidTr="003F1844">
        <w:trPr>
          <w:cantSplit/>
          <w:trHeight w:val="510"/>
          <w:tblHeader/>
        </w:trPr>
        <w:tc>
          <w:tcPr>
            <w:tcW w:w="2862" w:type="pct"/>
            <w:tcBorders>
              <w:left w:val="nil"/>
              <w:bottom w:val="single" w:sz="4" w:space="0" w:color="auto"/>
              <w:right w:val="nil"/>
            </w:tcBorders>
            <w:shd w:val="clear" w:color="000000" w:fill="FFFFFF"/>
            <w:vAlign w:val="center"/>
          </w:tcPr>
          <w:p w14:paraId="75C551B3" w14:textId="59DCEB43" w:rsidR="0065373B" w:rsidRPr="00D008D9" w:rsidRDefault="0065373B" w:rsidP="00F835A1">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1</w:t>
            </w:r>
            <w:r w:rsidR="00B51535" w:rsidRPr="00D008D9">
              <w:rPr>
                <w:rFonts w:asciiTheme="minorHAnsi" w:hAnsiTheme="minorHAnsi" w:cstheme="minorHAnsi"/>
                <w:b/>
                <w:bCs/>
                <w:color w:val="000000" w:themeColor="text1"/>
                <w:szCs w:val="20"/>
              </w:rPr>
              <w:t>4</w:t>
            </w:r>
            <w:r w:rsidRPr="00D008D9">
              <w:rPr>
                <w:rFonts w:asciiTheme="minorHAnsi" w:hAnsiTheme="minorHAnsi" w:cstheme="minorHAnsi"/>
                <w:b/>
                <w:bCs/>
                <w:color w:val="000000" w:themeColor="text1"/>
                <w:szCs w:val="20"/>
              </w:rPr>
              <w:t>.</w:t>
            </w:r>
            <w:r w:rsidR="00040330" w:rsidRPr="00D008D9">
              <w:rPr>
                <w:rFonts w:asciiTheme="minorHAnsi" w:hAnsiTheme="minorHAnsi" w:cstheme="minorHAnsi"/>
                <w:b/>
                <w:bCs/>
                <w:color w:val="000000" w:themeColor="text1"/>
                <w:szCs w:val="20"/>
              </w:rPr>
              <w:t>2</w:t>
            </w:r>
            <w:r w:rsidRPr="00D008D9">
              <w:rPr>
                <w:rFonts w:asciiTheme="minorHAnsi" w:hAnsiTheme="minorHAnsi" w:cstheme="minorHAnsi"/>
                <w:b/>
                <w:bCs/>
                <w:color w:val="000000" w:themeColor="text1"/>
                <w:szCs w:val="20"/>
              </w:rPr>
              <w:t xml:space="preserve"> </w:t>
            </w:r>
            <w:r w:rsidR="00FD093D" w:rsidRPr="00FD093D">
              <w:rPr>
                <w:rFonts w:asciiTheme="minorHAnsi" w:hAnsiTheme="minorHAnsi" w:cstheme="minorHAnsi"/>
                <w:b/>
                <w:color w:val="000000" w:themeColor="text1"/>
                <w:szCs w:val="20"/>
              </w:rPr>
              <w:t>Резерв під очікувані кредитні збитки</w:t>
            </w:r>
          </w:p>
        </w:tc>
        <w:tc>
          <w:tcPr>
            <w:tcW w:w="1069" w:type="pct"/>
            <w:tcBorders>
              <w:left w:val="nil"/>
              <w:bottom w:val="single" w:sz="4" w:space="0" w:color="auto"/>
              <w:right w:val="nil"/>
            </w:tcBorders>
            <w:shd w:val="clear" w:color="000000" w:fill="FFFFFF"/>
            <w:vAlign w:val="center"/>
          </w:tcPr>
          <w:p w14:paraId="2DDC373D" w14:textId="77777777" w:rsidR="0065373B" w:rsidRPr="00D008D9" w:rsidRDefault="0065373B" w:rsidP="00F835A1">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 xml:space="preserve">За рік, що </w:t>
            </w:r>
          </w:p>
          <w:p w14:paraId="743FF8B2" w14:textId="0512CA27" w:rsidR="0065373B" w:rsidRPr="00D008D9" w:rsidRDefault="0065373B" w:rsidP="00F835A1">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закінчився 31.12.20</w:t>
            </w:r>
            <w:r w:rsidR="009D2AB4" w:rsidRPr="00D008D9">
              <w:rPr>
                <w:rFonts w:asciiTheme="minorHAnsi" w:hAnsiTheme="minorHAnsi" w:cstheme="minorHAnsi"/>
                <w:b/>
                <w:color w:val="000000" w:themeColor="text1"/>
                <w:szCs w:val="20"/>
              </w:rPr>
              <w:t>20</w:t>
            </w:r>
          </w:p>
        </w:tc>
        <w:tc>
          <w:tcPr>
            <w:tcW w:w="1069" w:type="pct"/>
            <w:tcBorders>
              <w:left w:val="nil"/>
              <w:bottom w:val="single" w:sz="4" w:space="0" w:color="auto"/>
              <w:right w:val="nil"/>
            </w:tcBorders>
            <w:shd w:val="clear" w:color="000000" w:fill="FFFFFF"/>
            <w:vAlign w:val="center"/>
          </w:tcPr>
          <w:p w14:paraId="5534C730" w14:textId="77777777" w:rsidR="0065373B" w:rsidRPr="00D008D9" w:rsidRDefault="0065373B" w:rsidP="00F835A1">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 xml:space="preserve">За рік, що </w:t>
            </w:r>
          </w:p>
          <w:p w14:paraId="64CA6676" w14:textId="19300015" w:rsidR="0065373B" w:rsidRPr="00D008D9" w:rsidRDefault="0065373B" w:rsidP="009D2AB4">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закінчився 31.12.201</w:t>
            </w:r>
            <w:r w:rsidR="009D2AB4" w:rsidRPr="00D008D9">
              <w:rPr>
                <w:rFonts w:asciiTheme="minorHAnsi" w:hAnsiTheme="minorHAnsi" w:cstheme="minorHAnsi"/>
                <w:b/>
                <w:color w:val="000000" w:themeColor="text1"/>
                <w:szCs w:val="20"/>
              </w:rPr>
              <w:t>9</w:t>
            </w:r>
          </w:p>
        </w:tc>
      </w:tr>
      <w:tr w:rsidR="009D2AB4" w:rsidRPr="00D008D9" w14:paraId="05946C88" w14:textId="77777777" w:rsidTr="003F1844">
        <w:trPr>
          <w:cantSplit/>
          <w:trHeight w:val="255"/>
        </w:trPr>
        <w:tc>
          <w:tcPr>
            <w:tcW w:w="2862" w:type="pct"/>
            <w:tcBorders>
              <w:top w:val="single" w:sz="4" w:space="0" w:color="auto"/>
              <w:left w:val="nil"/>
              <w:right w:val="nil"/>
            </w:tcBorders>
            <w:shd w:val="clear" w:color="000000" w:fill="FFFFFF"/>
            <w:noWrap/>
            <w:vAlign w:val="bottom"/>
          </w:tcPr>
          <w:p w14:paraId="27C70E01" w14:textId="77777777" w:rsidR="009D2AB4" w:rsidRPr="00D008D9" w:rsidRDefault="009D2AB4" w:rsidP="009D2AB4">
            <w:pPr>
              <w:jc w:val="lef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На початок року</w:t>
            </w:r>
          </w:p>
        </w:tc>
        <w:tc>
          <w:tcPr>
            <w:tcW w:w="1069" w:type="pct"/>
            <w:tcBorders>
              <w:top w:val="single" w:sz="4" w:space="0" w:color="auto"/>
              <w:left w:val="nil"/>
              <w:right w:val="nil"/>
            </w:tcBorders>
            <w:shd w:val="clear" w:color="000000" w:fill="FFFFFF"/>
            <w:vAlign w:val="bottom"/>
          </w:tcPr>
          <w:p w14:paraId="1A710EC9" w14:textId="1573137B" w:rsidR="009D2AB4" w:rsidRPr="00D008D9" w:rsidRDefault="00D00EA1" w:rsidP="009D2AB4">
            <w:pPr>
              <w:jc w:val="right"/>
              <w:rPr>
                <w:rFonts w:asciiTheme="minorHAnsi" w:hAnsiTheme="minorHAnsi" w:cstheme="minorHAnsi"/>
                <w:b/>
                <w:bCs/>
                <w:color w:val="000000" w:themeColor="text1"/>
                <w:szCs w:val="20"/>
              </w:rPr>
            </w:pPr>
            <w:r w:rsidRPr="00D008D9">
              <w:rPr>
                <w:b/>
                <w:bCs/>
                <w:color w:val="000000" w:themeColor="text1"/>
                <w:szCs w:val="20"/>
              </w:rPr>
              <w:t>(161 321</w:t>
            </w:r>
            <w:r w:rsidR="009D2AB4" w:rsidRPr="00D008D9">
              <w:rPr>
                <w:b/>
                <w:bCs/>
                <w:color w:val="000000" w:themeColor="text1"/>
                <w:szCs w:val="20"/>
              </w:rPr>
              <w:t>)</w:t>
            </w:r>
          </w:p>
        </w:tc>
        <w:tc>
          <w:tcPr>
            <w:tcW w:w="1069" w:type="pct"/>
            <w:tcBorders>
              <w:top w:val="single" w:sz="4" w:space="0" w:color="auto"/>
              <w:left w:val="nil"/>
              <w:right w:val="nil"/>
            </w:tcBorders>
            <w:shd w:val="clear" w:color="000000" w:fill="FFFFFF"/>
            <w:vAlign w:val="bottom"/>
          </w:tcPr>
          <w:p w14:paraId="7E51075D" w14:textId="48BF80D8" w:rsidR="009D2AB4" w:rsidRPr="00D008D9" w:rsidRDefault="009D2AB4" w:rsidP="009D2AB4">
            <w:pPr>
              <w:jc w:val="right"/>
              <w:rPr>
                <w:rFonts w:asciiTheme="minorHAnsi" w:hAnsiTheme="minorHAnsi" w:cstheme="minorHAnsi"/>
                <w:b/>
                <w:bCs/>
                <w:color w:val="000000" w:themeColor="text1"/>
                <w:szCs w:val="20"/>
              </w:rPr>
            </w:pPr>
            <w:r w:rsidRPr="00D008D9">
              <w:rPr>
                <w:b/>
                <w:bCs/>
                <w:color w:val="000000" w:themeColor="text1"/>
                <w:szCs w:val="20"/>
              </w:rPr>
              <w:t>(159 777)</w:t>
            </w:r>
          </w:p>
        </w:tc>
      </w:tr>
      <w:tr w:rsidR="009D2AB4" w:rsidRPr="00D008D9" w14:paraId="097EC471" w14:textId="77777777" w:rsidTr="003F1844">
        <w:trPr>
          <w:cantSplit/>
          <w:trHeight w:val="255"/>
        </w:trPr>
        <w:tc>
          <w:tcPr>
            <w:tcW w:w="2862" w:type="pct"/>
            <w:tcBorders>
              <w:left w:val="nil"/>
              <w:bottom w:val="nil"/>
              <w:right w:val="nil"/>
            </w:tcBorders>
            <w:shd w:val="clear" w:color="000000" w:fill="FFFFFF"/>
            <w:noWrap/>
            <w:vAlign w:val="bottom"/>
          </w:tcPr>
          <w:p w14:paraId="2A1446B2" w14:textId="77777777" w:rsidR="009D2AB4" w:rsidRPr="00D008D9" w:rsidRDefault="009D2AB4" w:rsidP="009D2AB4">
            <w:pPr>
              <w:pStyle w:val="af7"/>
              <w:spacing w:before="0" w:after="0"/>
              <w:jc w:val="lef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Списання боргів</w:t>
            </w:r>
          </w:p>
        </w:tc>
        <w:tc>
          <w:tcPr>
            <w:tcW w:w="1069" w:type="pct"/>
            <w:tcBorders>
              <w:left w:val="nil"/>
              <w:bottom w:val="nil"/>
              <w:right w:val="nil"/>
            </w:tcBorders>
            <w:shd w:val="clear" w:color="000000" w:fill="FFFFFF"/>
            <w:vAlign w:val="bottom"/>
          </w:tcPr>
          <w:p w14:paraId="66E8D15C" w14:textId="0A8DE67A" w:rsidR="009D2AB4" w:rsidRPr="00D008D9" w:rsidRDefault="00D00EA1" w:rsidP="009D2AB4">
            <w:pPr>
              <w:jc w:val="right"/>
              <w:rPr>
                <w:rFonts w:asciiTheme="minorHAnsi" w:hAnsiTheme="minorHAnsi" w:cstheme="minorHAnsi"/>
                <w:color w:val="000000" w:themeColor="text1"/>
                <w:szCs w:val="20"/>
              </w:rPr>
            </w:pPr>
            <w:r w:rsidRPr="00D008D9">
              <w:rPr>
                <w:color w:val="000000" w:themeColor="text1"/>
                <w:szCs w:val="20"/>
              </w:rPr>
              <w:t>-</w:t>
            </w:r>
            <w:r w:rsidR="009D2AB4" w:rsidRPr="00D008D9">
              <w:rPr>
                <w:color w:val="000000" w:themeColor="text1"/>
                <w:szCs w:val="20"/>
              </w:rPr>
              <w:t xml:space="preserve"> </w:t>
            </w:r>
          </w:p>
        </w:tc>
        <w:tc>
          <w:tcPr>
            <w:tcW w:w="1069" w:type="pct"/>
            <w:tcBorders>
              <w:left w:val="nil"/>
              <w:bottom w:val="nil"/>
              <w:right w:val="nil"/>
            </w:tcBorders>
            <w:shd w:val="clear" w:color="000000" w:fill="FFFFFF"/>
            <w:vAlign w:val="bottom"/>
          </w:tcPr>
          <w:p w14:paraId="0CB4A731" w14:textId="2E729A3D" w:rsidR="009D2AB4" w:rsidRPr="00D008D9" w:rsidRDefault="009D2AB4" w:rsidP="009D2AB4">
            <w:pPr>
              <w:jc w:val="right"/>
              <w:rPr>
                <w:rFonts w:asciiTheme="minorHAnsi" w:hAnsiTheme="minorHAnsi" w:cstheme="minorHAnsi"/>
                <w:color w:val="000000" w:themeColor="text1"/>
                <w:szCs w:val="20"/>
              </w:rPr>
            </w:pPr>
            <w:r w:rsidRPr="00D008D9">
              <w:rPr>
                <w:color w:val="000000" w:themeColor="text1"/>
                <w:szCs w:val="20"/>
              </w:rPr>
              <w:t xml:space="preserve">17  </w:t>
            </w:r>
          </w:p>
        </w:tc>
      </w:tr>
      <w:tr w:rsidR="009D2AB4" w:rsidRPr="00D008D9" w14:paraId="28CA796C" w14:textId="77777777" w:rsidTr="003F1844">
        <w:trPr>
          <w:cantSplit/>
          <w:trHeight w:val="255"/>
        </w:trPr>
        <w:tc>
          <w:tcPr>
            <w:tcW w:w="2862" w:type="pct"/>
            <w:tcBorders>
              <w:left w:val="nil"/>
              <w:bottom w:val="nil"/>
              <w:right w:val="nil"/>
            </w:tcBorders>
            <w:shd w:val="clear" w:color="000000" w:fill="FFFFFF"/>
            <w:noWrap/>
            <w:vAlign w:val="bottom"/>
          </w:tcPr>
          <w:p w14:paraId="6C7D95CF" w14:textId="3DF5D2EB" w:rsidR="009D2AB4" w:rsidRPr="00D008D9" w:rsidRDefault="009D2AB4" w:rsidP="009D2AB4">
            <w:pPr>
              <w:pStyle w:val="af7"/>
              <w:spacing w:before="0" w:after="0"/>
              <w:jc w:val="lef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Використання резерву</w:t>
            </w:r>
          </w:p>
        </w:tc>
        <w:tc>
          <w:tcPr>
            <w:tcW w:w="1069" w:type="pct"/>
            <w:tcBorders>
              <w:left w:val="nil"/>
              <w:bottom w:val="nil"/>
              <w:right w:val="nil"/>
            </w:tcBorders>
            <w:shd w:val="clear" w:color="000000" w:fill="FFFFFF"/>
            <w:vAlign w:val="bottom"/>
          </w:tcPr>
          <w:p w14:paraId="28E91984" w14:textId="2E5D53AF" w:rsidR="009D2AB4" w:rsidRPr="00276965" w:rsidRDefault="00363B9D" w:rsidP="009D2AB4">
            <w:pPr>
              <w:jc w:val="right"/>
              <w:rPr>
                <w:rFonts w:asciiTheme="minorHAnsi" w:hAnsiTheme="minorHAnsi" w:cstheme="minorHAnsi"/>
                <w:color w:val="000000" w:themeColor="text1"/>
                <w:szCs w:val="20"/>
              </w:rPr>
            </w:pPr>
            <w:r w:rsidRPr="00276965">
              <w:rPr>
                <w:rFonts w:asciiTheme="minorHAnsi" w:hAnsiTheme="minorHAnsi" w:cstheme="minorHAnsi"/>
                <w:color w:val="000000" w:themeColor="text1"/>
                <w:szCs w:val="20"/>
              </w:rPr>
              <w:t>161 321</w:t>
            </w:r>
          </w:p>
        </w:tc>
        <w:tc>
          <w:tcPr>
            <w:tcW w:w="1069" w:type="pct"/>
            <w:tcBorders>
              <w:left w:val="nil"/>
              <w:bottom w:val="nil"/>
              <w:right w:val="nil"/>
            </w:tcBorders>
            <w:shd w:val="clear" w:color="000000" w:fill="FFFFFF"/>
            <w:vAlign w:val="bottom"/>
          </w:tcPr>
          <w:p w14:paraId="1184A569" w14:textId="2C68A455" w:rsidR="009D2AB4" w:rsidRPr="00D008D9" w:rsidRDefault="009D2AB4" w:rsidP="009D2AB4">
            <w:pPr>
              <w:jc w:val="righ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159 716</w:t>
            </w:r>
          </w:p>
        </w:tc>
      </w:tr>
      <w:tr w:rsidR="009D2AB4" w:rsidRPr="00D008D9" w14:paraId="553CB067" w14:textId="77777777" w:rsidTr="003F1844">
        <w:trPr>
          <w:cantSplit/>
          <w:trHeight w:val="255"/>
        </w:trPr>
        <w:tc>
          <w:tcPr>
            <w:tcW w:w="2862" w:type="pct"/>
            <w:tcBorders>
              <w:left w:val="nil"/>
              <w:bottom w:val="nil"/>
              <w:right w:val="nil"/>
            </w:tcBorders>
            <w:shd w:val="clear" w:color="000000" w:fill="FFFFFF"/>
            <w:noWrap/>
            <w:vAlign w:val="bottom"/>
          </w:tcPr>
          <w:p w14:paraId="5F42DB05" w14:textId="77777777" w:rsidR="009D2AB4" w:rsidRPr="00D008D9" w:rsidRDefault="009D2AB4" w:rsidP="009D2AB4">
            <w:pPr>
              <w:pStyle w:val="af7"/>
              <w:spacing w:before="0" w:after="0"/>
              <w:jc w:val="lef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Відрахування до резерву</w:t>
            </w:r>
          </w:p>
        </w:tc>
        <w:tc>
          <w:tcPr>
            <w:tcW w:w="1069" w:type="pct"/>
            <w:tcBorders>
              <w:left w:val="nil"/>
              <w:bottom w:val="nil"/>
              <w:right w:val="nil"/>
            </w:tcBorders>
            <w:shd w:val="clear" w:color="000000" w:fill="FFFFFF"/>
            <w:vAlign w:val="bottom"/>
          </w:tcPr>
          <w:p w14:paraId="22D942F5" w14:textId="135CA23B" w:rsidR="009D2AB4" w:rsidRPr="00276965" w:rsidRDefault="009D2AB4" w:rsidP="00240572">
            <w:pPr>
              <w:jc w:val="right"/>
              <w:rPr>
                <w:rFonts w:asciiTheme="minorHAnsi" w:hAnsiTheme="minorHAnsi" w:cstheme="minorHAnsi"/>
                <w:color w:val="000000" w:themeColor="text1"/>
                <w:szCs w:val="20"/>
              </w:rPr>
            </w:pPr>
            <w:r w:rsidRPr="00276965">
              <w:rPr>
                <w:color w:val="000000" w:themeColor="text1"/>
                <w:szCs w:val="20"/>
              </w:rPr>
              <w:t>(</w:t>
            </w:r>
            <w:r w:rsidR="00240572" w:rsidRPr="00276965">
              <w:rPr>
                <w:color w:val="000000" w:themeColor="text1"/>
                <w:szCs w:val="20"/>
              </w:rPr>
              <w:t>167 467</w:t>
            </w:r>
            <w:r w:rsidRPr="00276965">
              <w:rPr>
                <w:color w:val="000000" w:themeColor="text1"/>
                <w:szCs w:val="20"/>
              </w:rPr>
              <w:t>)</w:t>
            </w:r>
          </w:p>
        </w:tc>
        <w:tc>
          <w:tcPr>
            <w:tcW w:w="1069" w:type="pct"/>
            <w:tcBorders>
              <w:left w:val="nil"/>
              <w:bottom w:val="nil"/>
              <w:right w:val="nil"/>
            </w:tcBorders>
            <w:shd w:val="clear" w:color="000000" w:fill="FFFFFF"/>
            <w:vAlign w:val="bottom"/>
          </w:tcPr>
          <w:p w14:paraId="03EA7950" w14:textId="39B2B500" w:rsidR="009D2AB4" w:rsidRPr="00D008D9" w:rsidRDefault="009D2AB4" w:rsidP="009D2AB4">
            <w:pPr>
              <w:jc w:val="right"/>
              <w:rPr>
                <w:rFonts w:asciiTheme="minorHAnsi" w:hAnsiTheme="minorHAnsi" w:cstheme="minorHAnsi"/>
                <w:color w:val="000000" w:themeColor="text1"/>
                <w:szCs w:val="20"/>
              </w:rPr>
            </w:pPr>
            <w:r w:rsidRPr="00D008D9">
              <w:rPr>
                <w:color w:val="000000" w:themeColor="text1"/>
                <w:szCs w:val="20"/>
              </w:rPr>
              <w:t>(161 277)</w:t>
            </w:r>
          </w:p>
        </w:tc>
      </w:tr>
      <w:tr w:rsidR="009D2AB4" w:rsidRPr="008756CD" w14:paraId="44CBF6DE" w14:textId="77777777" w:rsidTr="003F1844">
        <w:trPr>
          <w:cantSplit/>
          <w:trHeight w:val="255"/>
        </w:trPr>
        <w:tc>
          <w:tcPr>
            <w:tcW w:w="2862" w:type="pct"/>
            <w:tcBorders>
              <w:top w:val="single" w:sz="4" w:space="0" w:color="auto"/>
              <w:left w:val="nil"/>
              <w:bottom w:val="nil"/>
              <w:right w:val="nil"/>
            </w:tcBorders>
            <w:shd w:val="clear" w:color="000000" w:fill="FFFFFF"/>
            <w:noWrap/>
            <w:vAlign w:val="bottom"/>
          </w:tcPr>
          <w:p w14:paraId="14483E0E" w14:textId="77777777" w:rsidR="009D2AB4" w:rsidRPr="00D008D9" w:rsidRDefault="009D2AB4" w:rsidP="009D2AB4">
            <w:pPr>
              <w:jc w:val="lef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На кінець року</w:t>
            </w:r>
          </w:p>
        </w:tc>
        <w:tc>
          <w:tcPr>
            <w:tcW w:w="1069" w:type="pct"/>
            <w:tcBorders>
              <w:top w:val="single" w:sz="4" w:space="0" w:color="auto"/>
              <w:left w:val="nil"/>
              <w:bottom w:val="nil"/>
              <w:right w:val="nil"/>
            </w:tcBorders>
            <w:shd w:val="clear" w:color="000000" w:fill="FFFFFF"/>
            <w:vAlign w:val="bottom"/>
          </w:tcPr>
          <w:p w14:paraId="3281625F" w14:textId="3232B506" w:rsidR="009D2AB4" w:rsidRPr="00D008D9" w:rsidRDefault="00D00EA1" w:rsidP="009D2AB4">
            <w:pPr>
              <w:jc w:val="right"/>
              <w:rPr>
                <w:rFonts w:asciiTheme="minorHAnsi" w:hAnsiTheme="minorHAnsi" w:cstheme="minorHAnsi"/>
                <w:b/>
                <w:bCs/>
                <w:color w:val="000000" w:themeColor="text1"/>
                <w:szCs w:val="20"/>
              </w:rPr>
            </w:pPr>
            <w:r w:rsidRPr="00D008D9">
              <w:rPr>
                <w:b/>
                <w:bCs/>
                <w:color w:val="000000" w:themeColor="text1"/>
                <w:szCs w:val="20"/>
              </w:rPr>
              <w:t>(167 467</w:t>
            </w:r>
            <w:r w:rsidR="009D2AB4" w:rsidRPr="00D008D9">
              <w:rPr>
                <w:b/>
                <w:bCs/>
                <w:color w:val="000000" w:themeColor="text1"/>
                <w:szCs w:val="20"/>
              </w:rPr>
              <w:t>)</w:t>
            </w:r>
          </w:p>
        </w:tc>
        <w:tc>
          <w:tcPr>
            <w:tcW w:w="1069" w:type="pct"/>
            <w:tcBorders>
              <w:top w:val="single" w:sz="4" w:space="0" w:color="auto"/>
              <w:left w:val="nil"/>
              <w:bottom w:val="nil"/>
              <w:right w:val="nil"/>
            </w:tcBorders>
            <w:shd w:val="clear" w:color="000000" w:fill="FFFFFF"/>
            <w:vAlign w:val="bottom"/>
          </w:tcPr>
          <w:p w14:paraId="28A7B4B3" w14:textId="1F1BBA7D" w:rsidR="009D2AB4" w:rsidRPr="00D008D9" w:rsidRDefault="009D2AB4" w:rsidP="009D2AB4">
            <w:pPr>
              <w:jc w:val="right"/>
              <w:rPr>
                <w:rFonts w:asciiTheme="minorHAnsi" w:hAnsiTheme="minorHAnsi" w:cstheme="minorHAnsi"/>
                <w:b/>
                <w:bCs/>
                <w:color w:val="000000" w:themeColor="text1"/>
                <w:szCs w:val="20"/>
              </w:rPr>
            </w:pPr>
            <w:r w:rsidRPr="00D008D9">
              <w:rPr>
                <w:b/>
                <w:bCs/>
                <w:color w:val="000000" w:themeColor="text1"/>
                <w:szCs w:val="20"/>
              </w:rPr>
              <w:t>(161 321)</w:t>
            </w:r>
          </w:p>
        </w:tc>
      </w:tr>
    </w:tbl>
    <w:p w14:paraId="74B2291E" w14:textId="763AAE52" w:rsidR="00442BB3" w:rsidRPr="008756CD" w:rsidRDefault="00442BB3" w:rsidP="00040330">
      <w:pPr>
        <w:spacing w:before="120" w:after="120"/>
        <w:rPr>
          <w:rFonts w:asciiTheme="minorHAnsi" w:hAnsiTheme="minorHAnsi" w:cstheme="minorHAnsi"/>
          <w:b/>
          <w:color w:val="000000" w:themeColor="text1"/>
          <w:szCs w:val="20"/>
          <w:highlight w:val="yellow"/>
        </w:rPr>
      </w:pPr>
    </w:p>
    <w:tbl>
      <w:tblPr>
        <w:tblW w:w="5000" w:type="pct"/>
        <w:tblLook w:val="00A0" w:firstRow="1" w:lastRow="0" w:firstColumn="1" w:lastColumn="0" w:noHBand="0" w:noVBand="0"/>
      </w:tblPr>
      <w:tblGrid>
        <w:gridCol w:w="5515"/>
        <w:gridCol w:w="2060"/>
        <w:gridCol w:w="2062"/>
      </w:tblGrid>
      <w:tr w:rsidR="00D00EA1" w:rsidRPr="008756CD" w14:paraId="28356765" w14:textId="77777777" w:rsidTr="00B51535">
        <w:trPr>
          <w:trHeight w:val="393"/>
          <w:tblHeader/>
        </w:trPr>
        <w:tc>
          <w:tcPr>
            <w:tcW w:w="2861" w:type="pct"/>
            <w:tcBorders>
              <w:left w:val="nil"/>
              <w:bottom w:val="single" w:sz="4" w:space="0" w:color="auto"/>
              <w:right w:val="nil"/>
            </w:tcBorders>
            <w:shd w:val="clear" w:color="auto" w:fill="FFFFFF"/>
            <w:noWrap/>
            <w:vAlign w:val="center"/>
          </w:tcPr>
          <w:p w14:paraId="71E04993" w14:textId="7DAE9620" w:rsidR="00D00EA1" w:rsidRPr="00D008D9" w:rsidRDefault="00D00EA1" w:rsidP="00D00EA1">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14.3 Інша заборгованість</w:t>
            </w:r>
          </w:p>
        </w:tc>
        <w:tc>
          <w:tcPr>
            <w:tcW w:w="1069" w:type="pct"/>
            <w:tcBorders>
              <w:left w:val="nil"/>
              <w:bottom w:val="single" w:sz="4" w:space="0" w:color="auto"/>
              <w:right w:val="nil"/>
            </w:tcBorders>
            <w:shd w:val="clear" w:color="auto" w:fill="FFFFFF"/>
            <w:vAlign w:val="center"/>
          </w:tcPr>
          <w:p w14:paraId="447378F9" w14:textId="2E6FEFF2" w:rsidR="00D00EA1" w:rsidRPr="008756CD" w:rsidRDefault="00D00EA1" w:rsidP="00D00EA1">
            <w:pPr>
              <w:jc w:val="right"/>
              <w:rPr>
                <w:rFonts w:asciiTheme="minorHAnsi" w:hAnsiTheme="minorHAnsi" w:cstheme="minorHAnsi"/>
                <w:b/>
                <w:color w:val="000000" w:themeColor="text1"/>
                <w:szCs w:val="20"/>
                <w:highlight w:val="yellow"/>
              </w:rPr>
            </w:pPr>
            <w:r w:rsidRPr="005937F9">
              <w:rPr>
                <w:rFonts w:asciiTheme="minorHAnsi" w:hAnsiTheme="minorHAnsi" w:cstheme="minorHAnsi"/>
                <w:b/>
                <w:color w:val="000000" w:themeColor="text1"/>
                <w:szCs w:val="20"/>
              </w:rPr>
              <w:t>31.12.2020</w:t>
            </w:r>
          </w:p>
        </w:tc>
        <w:tc>
          <w:tcPr>
            <w:tcW w:w="1070" w:type="pct"/>
            <w:tcBorders>
              <w:left w:val="nil"/>
              <w:bottom w:val="single" w:sz="4" w:space="0" w:color="auto"/>
              <w:right w:val="nil"/>
            </w:tcBorders>
            <w:shd w:val="clear" w:color="auto" w:fill="FFFFFF"/>
            <w:vAlign w:val="center"/>
          </w:tcPr>
          <w:p w14:paraId="75F3E216" w14:textId="2C2FC121" w:rsidR="00D00EA1" w:rsidRPr="00D008D9" w:rsidRDefault="00D00EA1" w:rsidP="00D00EA1">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31.12.2019</w:t>
            </w:r>
          </w:p>
        </w:tc>
      </w:tr>
      <w:tr w:rsidR="00D00EA1" w:rsidRPr="008756CD" w14:paraId="236739AB" w14:textId="77777777" w:rsidTr="000F46CA">
        <w:trPr>
          <w:trHeight w:val="255"/>
        </w:trPr>
        <w:tc>
          <w:tcPr>
            <w:tcW w:w="2861" w:type="pct"/>
            <w:tcBorders>
              <w:top w:val="nil"/>
              <w:left w:val="nil"/>
              <w:bottom w:val="nil"/>
              <w:right w:val="nil"/>
            </w:tcBorders>
            <w:shd w:val="clear" w:color="auto" w:fill="FFFFFF"/>
            <w:noWrap/>
            <w:vAlign w:val="bottom"/>
          </w:tcPr>
          <w:p w14:paraId="0EEF7DE6" w14:textId="461B7933" w:rsidR="00D00EA1" w:rsidRPr="00D008D9" w:rsidRDefault="00D00EA1" w:rsidP="00D00EA1">
            <w:pPr>
              <w:pStyle w:val="af7"/>
              <w:spacing w:before="0" w:after="0"/>
              <w:jc w:val="lef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Інша поточна дебіторська заборгованість</w:t>
            </w:r>
          </w:p>
        </w:tc>
        <w:tc>
          <w:tcPr>
            <w:tcW w:w="1069" w:type="pct"/>
            <w:tcBorders>
              <w:top w:val="nil"/>
              <w:left w:val="nil"/>
              <w:bottom w:val="nil"/>
              <w:right w:val="nil"/>
            </w:tcBorders>
            <w:shd w:val="clear" w:color="auto" w:fill="FFFFFF"/>
            <w:vAlign w:val="bottom"/>
          </w:tcPr>
          <w:p w14:paraId="14BD88B8" w14:textId="61BDD90D" w:rsidR="00D00EA1" w:rsidRPr="00850EA6" w:rsidRDefault="00850EA6" w:rsidP="00D00EA1">
            <w:pPr>
              <w:jc w:val="right"/>
              <w:rPr>
                <w:rFonts w:asciiTheme="minorHAnsi" w:hAnsiTheme="minorHAnsi" w:cstheme="minorHAnsi"/>
                <w:color w:val="000000" w:themeColor="text1"/>
                <w:szCs w:val="20"/>
              </w:rPr>
            </w:pPr>
            <w:r w:rsidRPr="00850EA6">
              <w:rPr>
                <w:color w:val="000000" w:themeColor="text1"/>
                <w:szCs w:val="20"/>
              </w:rPr>
              <w:t>8 389</w:t>
            </w:r>
            <w:r w:rsidR="00D00EA1" w:rsidRPr="00850EA6">
              <w:rPr>
                <w:color w:val="000000" w:themeColor="text1"/>
                <w:szCs w:val="20"/>
              </w:rPr>
              <w:t xml:space="preserve"> </w:t>
            </w:r>
          </w:p>
        </w:tc>
        <w:tc>
          <w:tcPr>
            <w:tcW w:w="1070" w:type="pct"/>
            <w:tcBorders>
              <w:top w:val="nil"/>
              <w:left w:val="nil"/>
              <w:bottom w:val="nil"/>
              <w:right w:val="nil"/>
            </w:tcBorders>
            <w:shd w:val="clear" w:color="auto" w:fill="FFFFFF"/>
            <w:vAlign w:val="bottom"/>
          </w:tcPr>
          <w:p w14:paraId="4632BC1B" w14:textId="45419146" w:rsidR="00D00EA1" w:rsidRPr="00D008D9" w:rsidRDefault="00D00EA1" w:rsidP="00D00EA1">
            <w:pPr>
              <w:jc w:val="right"/>
              <w:rPr>
                <w:rFonts w:asciiTheme="minorHAnsi" w:hAnsiTheme="minorHAnsi" w:cstheme="minorHAnsi"/>
                <w:color w:val="000000" w:themeColor="text1"/>
                <w:szCs w:val="20"/>
              </w:rPr>
            </w:pPr>
            <w:r w:rsidRPr="00D008D9">
              <w:rPr>
                <w:color w:val="000000" w:themeColor="text1"/>
                <w:szCs w:val="20"/>
              </w:rPr>
              <w:t xml:space="preserve">24 702 </w:t>
            </w:r>
          </w:p>
        </w:tc>
      </w:tr>
      <w:tr w:rsidR="00D00EA1" w:rsidRPr="008756CD" w14:paraId="6CA4A1B3" w14:textId="77777777" w:rsidTr="000F46CA">
        <w:trPr>
          <w:trHeight w:val="255"/>
        </w:trPr>
        <w:tc>
          <w:tcPr>
            <w:tcW w:w="2861" w:type="pct"/>
            <w:tcBorders>
              <w:top w:val="nil"/>
              <w:left w:val="nil"/>
              <w:bottom w:val="nil"/>
              <w:right w:val="nil"/>
            </w:tcBorders>
            <w:shd w:val="clear" w:color="auto" w:fill="FFFFFF"/>
            <w:noWrap/>
            <w:vAlign w:val="bottom"/>
          </w:tcPr>
          <w:p w14:paraId="23CC5BD8" w14:textId="77777777" w:rsidR="00D00EA1" w:rsidRPr="00D008D9" w:rsidRDefault="00D00EA1" w:rsidP="00D00EA1">
            <w:pPr>
              <w:pStyle w:val="af7"/>
              <w:spacing w:before="0" w:after="0"/>
              <w:jc w:val="lef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Аванси видані</w:t>
            </w:r>
          </w:p>
        </w:tc>
        <w:tc>
          <w:tcPr>
            <w:tcW w:w="1069" w:type="pct"/>
            <w:tcBorders>
              <w:top w:val="nil"/>
              <w:left w:val="nil"/>
              <w:bottom w:val="nil"/>
              <w:right w:val="nil"/>
            </w:tcBorders>
            <w:shd w:val="clear" w:color="auto" w:fill="FFFFFF"/>
            <w:vAlign w:val="bottom"/>
          </w:tcPr>
          <w:p w14:paraId="71EC3240" w14:textId="52CBC8D0" w:rsidR="00D00EA1" w:rsidRPr="00850EA6" w:rsidRDefault="00D00EA1" w:rsidP="00850EA6">
            <w:pPr>
              <w:jc w:val="right"/>
              <w:rPr>
                <w:rFonts w:asciiTheme="minorHAnsi" w:hAnsiTheme="minorHAnsi" w:cstheme="minorHAnsi"/>
                <w:color w:val="000000" w:themeColor="text1"/>
                <w:szCs w:val="20"/>
              </w:rPr>
            </w:pPr>
            <w:r w:rsidRPr="00850EA6">
              <w:rPr>
                <w:color w:val="000000" w:themeColor="text1"/>
                <w:szCs w:val="20"/>
              </w:rPr>
              <w:t>52 18</w:t>
            </w:r>
            <w:r w:rsidR="00FC257E">
              <w:rPr>
                <w:color w:val="000000" w:themeColor="text1"/>
                <w:szCs w:val="20"/>
              </w:rPr>
              <w:t>3</w:t>
            </w:r>
            <w:r w:rsidRPr="00850EA6">
              <w:rPr>
                <w:color w:val="000000" w:themeColor="text1"/>
                <w:szCs w:val="20"/>
              </w:rPr>
              <w:t xml:space="preserve"> </w:t>
            </w:r>
          </w:p>
        </w:tc>
        <w:tc>
          <w:tcPr>
            <w:tcW w:w="1070" w:type="pct"/>
            <w:tcBorders>
              <w:top w:val="nil"/>
              <w:left w:val="nil"/>
              <w:bottom w:val="nil"/>
              <w:right w:val="nil"/>
            </w:tcBorders>
            <w:shd w:val="clear" w:color="auto" w:fill="FFFFFF"/>
            <w:vAlign w:val="bottom"/>
          </w:tcPr>
          <w:p w14:paraId="0D50B7B7" w14:textId="609C2164" w:rsidR="00D00EA1" w:rsidRPr="00D008D9" w:rsidRDefault="00D00EA1" w:rsidP="00D00EA1">
            <w:pPr>
              <w:jc w:val="right"/>
              <w:rPr>
                <w:rFonts w:asciiTheme="minorHAnsi" w:hAnsiTheme="minorHAnsi" w:cstheme="minorHAnsi"/>
                <w:color w:val="000000" w:themeColor="text1"/>
                <w:szCs w:val="20"/>
              </w:rPr>
            </w:pPr>
            <w:r w:rsidRPr="00D008D9">
              <w:rPr>
                <w:color w:val="000000" w:themeColor="text1"/>
                <w:szCs w:val="20"/>
              </w:rPr>
              <w:t xml:space="preserve">43 622 </w:t>
            </w:r>
          </w:p>
        </w:tc>
      </w:tr>
      <w:tr w:rsidR="00D00EA1" w:rsidRPr="008756CD" w14:paraId="32BB31EE" w14:textId="77777777" w:rsidTr="000F46CA">
        <w:trPr>
          <w:trHeight w:val="255"/>
        </w:trPr>
        <w:tc>
          <w:tcPr>
            <w:tcW w:w="2861" w:type="pct"/>
            <w:tcBorders>
              <w:top w:val="nil"/>
              <w:left w:val="nil"/>
              <w:bottom w:val="single" w:sz="4" w:space="0" w:color="auto"/>
              <w:right w:val="nil"/>
            </w:tcBorders>
            <w:shd w:val="clear" w:color="auto" w:fill="FFFFFF"/>
            <w:vAlign w:val="bottom"/>
          </w:tcPr>
          <w:p w14:paraId="02DC2F0A" w14:textId="49E37493" w:rsidR="00D00EA1" w:rsidRPr="006E722F" w:rsidRDefault="00FD093D" w:rsidP="006E722F">
            <w:pPr>
              <w:pStyle w:val="af7"/>
              <w:spacing w:before="0" w:after="0"/>
              <w:jc w:val="left"/>
              <w:rPr>
                <w:rFonts w:asciiTheme="minorHAnsi" w:hAnsiTheme="minorHAnsi" w:cstheme="minorHAnsi"/>
                <w:color w:val="000000" w:themeColor="text1"/>
                <w:szCs w:val="20"/>
              </w:rPr>
            </w:pPr>
            <w:r w:rsidRPr="006E722F">
              <w:rPr>
                <w:rFonts w:asciiTheme="minorHAnsi" w:hAnsiTheme="minorHAnsi" w:cstheme="minorHAnsi"/>
                <w:color w:val="000000" w:themeColor="text1"/>
                <w:szCs w:val="20"/>
              </w:rPr>
              <w:t xml:space="preserve">Резерв під </w:t>
            </w:r>
            <w:r w:rsidR="006E722F" w:rsidRPr="006E722F">
              <w:rPr>
                <w:rFonts w:asciiTheme="minorHAnsi" w:hAnsiTheme="minorHAnsi" w:cstheme="minorHAnsi"/>
                <w:color w:val="000000" w:themeColor="text1"/>
                <w:szCs w:val="20"/>
              </w:rPr>
              <w:t xml:space="preserve">знецінення та </w:t>
            </w:r>
            <w:r w:rsidRPr="006E722F">
              <w:rPr>
                <w:rFonts w:asciiTheme="minorHAnsi" w:hAnsiTheme="minorHAnsi" w:cstheme="minorHAnsi"/>
                <w:color w:val="000000" w:themeColor="text1"/>
                <w:szCs w:val="20"/>
              </w:rPr>
              <w:t>очікувані кредитні збитки</w:t>
            </w:r>
          </w:p>
        </w:tc>
        <w:tc>
          <w:tcPr>
            <w:tcW w:w="1069" w:type="pct"/>
            <w:tcBorders>
              <w:top w:val="nil"/>
              <w:left w:val="nil"/>
              <w:bottom w:val="single" w:sz="4" w:space="0" w:color="auto"/>
              <w:right w:val="nil"/>
            </w:tcBorders>
            <w:shd w:val="clear" w:color="auto" w:fill="FFFFFF"/>
            <w:vAlign w:val="bottom"/>
          </w:tcPr>
          <w:p w14:paraId="54055265" w14:textId="4CA2C061" w:rsidR="00D00EA1" w:rsidRPr="00850EA6" w:rsidRDefault="00D00EA1" w:rsidP="00850EA6">
            <w:pPr>
              <w:jc w:val="right"/>
              <w:rPr>
                <w:rFonts w:asciiTheme="minorHAnsi" w:hAnsiTheme="minorHAnsi" w:cstheme="minorHAnsi"/>
                <w:color w:val="000000" w:themeColor="text1"/>
                <w:szCs w:val="20"/>
              </w:rPr>
            </w:pPr>
            <w:r w:rsidRPr="00850EA6">
              <w:rPr>
                <w:color w:val="000000" w:themeColor="text1"/>
                <w:szCs w:val="20"/>
              </w:rPr>
              <w:t>(</w:t>
            </w:r>
            <w:r w:rsidR="00FC257E">
              <w:rPr>
                <w:color w:val="000000" w:themeColor="text1"/>
                <w:szCs w:val="20"/>
              </w:rPr>
              <w:t>16 239</w:t>
            </w:r>
            <w:r w:rsidRPr="00850EA6">
              <w:rPr>
                <w:color w:val="000000" w:themeColor="text1"/>
                <w:szCs w:val="20"/>
              </w:rPr>
              <w:t>)</w:t>
            </w:r>
          </w:p>
        </w:tc>
        <w:tc>
          <w:tcPr>
            <w:tcW w:w="1070" w:type="pct"/>
            <w:tcBorders>
              <w:top w:val="nil"/>
              <w:left w:val="nil"/>
              <w:bottom w:val="single" w:sz="4" w:space="0" w:color="auto"/>
              <w:right w:val="nil"/>
            </w:tcBorders>
            <w:shd w:val="clear" w:color="auto" w:fill="FFFFFF"/>
            <w:vAlign w:val="bottom"/>
          </w:tcPr>
          <w:p w14:paraId="6B36DCA2" w14:textId="58D7B163" w:rsidR="00D00EA1" w:rsidRPr="00D008D9" w:rsidRDefault="00D00EA1" w:rsidP="00D00EA1">
            <w:pPr>
              <w:jc w:val="right"/>
              <w:rPr>
                <w:rFonts w:asciiTheme="minorHAnsi" w:hAnsiTheme="minorHAnsi" w:cstheme="minorHAnsi"/>
                <w:color w:val="000000" w:themeColor="text1"/>
                <w:szCs w:val="20"/>
              </w:rPr>
            </w:pPr>
            <w:r w:rsidRPr="00D008D9">
              <w:rPr>
                <w:color w:val="000000" w:themeColor="text1"/>
                <w:szCs w:val="20"/>
              </w:rPr>
              <w:t>(35 639)</w:t>
            </w:r>
          </w:p>
        </w:tc>
      </w:tr>
      <w:tr w:rsidR="00D00EA1" w:rsidRPr="008756CD" w14:paraId="32070098" w14:textId="77777777" w:rsidTr="000F46CA">
        <w:trPr>
          <w:trHeight w:val="255"/>
        </w:trPr>
        <w:tc>
          <w:tcPr>
            <w:tcW w:w="2861" w:type="pct"/>
            <w:tcBorders>
              <w:top w:val="single" w:sz="4" w:space="0" w:color="auto"/>
              <w:left w:val="nil"/>
              <w:bottom w:val="nil"/>
              <w:right w:val="nil"/>
            </w:tcBorders>
            <w:shd w:val="clear" w:color="auto" w:fill="FFFFFF"/>
            <w:noWrap/>
            <w:vAlign w:val="bottom"/>
          </w:tcPr>
          <w:p w14:paraId="527753B2" w14:textId="77777777" w:rsidR="00D00EA1" w:rsidRPr="00D008D9" w:rsidRDefault="00D00EA1" w:rsidP="00D00EA1">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Разом:</w:t>
            </w:r>
          </w:p>
        </w:tc>
        <w:tc>
          <w:tcPr>
            <w:tcW w:w="1069" w:type="pct"/>
            <w:tcBorders>
              <w:top w:val="single" w:sz="4" w:space="0" w:color="auto"/>
              <w:left w:val="nil"/>
              <w:bottom w:val="nil"/>
              <w:right w:val="nil"/>
            </w:tcBorders>
            <w:shd w:val="clear" w:color="auto" w:fill="FFFFFF"/>
            <w:vAlign w:val="bottom"/>
          </w:tcPr>
          <w:p w14:paraId="46D2C482" w14:textId="79F80EAB" w:rsidR="00D00EA1" w:rsidRPr="00850EA6" w:rsidRDefault="00850EA6" w:rsidP="00D00EA1">
            <w:pPr>
              <w:jc w:val="right"/>
              <w:rPr>
                <w:rFonts w:asciiTheme="minorHAnsi" w:hAnsiTheme="minorHAnsi" w:cstheme="minorHAnsi"/>
                <w:b/>
                <w:bCs/>
                <w:color w:val="000000" w:themeColor="text1"/>
                <w:szCs w:val="20"/>
              </w:rPr>
            </w:pPr>
            <w:r w:rsidRPr="00850EA6">
              <w:rPr>
                <w:b/>
                <w:bCs/>
                <w:color w:val="000000" w:themeColor="text1"/>
                <w:szCs w:val="20"/>
              </w:rPr>
              <w:t>44 333</w:t>
            </w:r>
            <w:r w:rsidR="00D00EA1" w:rsidRPr="00850EA6">
              <w:rPr>
                <w:b/>
                <w:bCs/>
                <w:color w:val="000000" w:themeColor="text1"/>
                <w:szCs w:val="20"/>
              </w:rPr>
              <w:t xml:space="preserve"> </w:t>
            </w:r>
          </w:p>
        </w:tc>
        <w:tc>
          <w:tcPr>
            <w:tcW w:w="1070" w:type="pct"/>
            <w:tcBorders>
              <w:top w:val="single" w:sz="4" w:space="0" w:color="auto"/>
              <w:left w:val="nil"/>
              <w:bottom w:val="nil"/>
              <w:right w:val="nil"/>
            </w:tcBorders>
            <w:shd w:val="clear" w:color="auto" w:fill="FFFFFF"/>
            <w:vAlign w:val="bottom"/>
          </w:tcPr>
          <w:p w14:paraId="1EC977D6" w14:textId="2262CCA9" w:rsidR="00D00EA1" w:rsidRPr="00D008D9" w:rsidRDefault="00D00EA1" w:rsidP="00D00EA1">
            <w:pPr>
              <w:jc w:val="right"/>
              <w:rPr>
                <w:rFonts w:asciiTheme="minorHAnsi" w:hAnsiTheme="minorHAnsi" w:cstheme="minorHAnsi"/>
                <w:b/>
                <w:bCs/>
                <w:color w:val="000000" w:themeColor="text1"/>
                <w:szCs w:val="20"/>
              </w:rPr>
            </w:pPr>
            <w:r w:rsidRPr="00D008D9">
              <w:rPr>
                <w:b/>
                <w:bCs/>
                <w:color w:val="000000" w:themeColor="text1"/>
                <w:szCs w:val="20"/>
              </w:rPr>
              <w:t xml:space="preserve">32 685 </w:t>
            </w:r>
          </w:p>
        </w:tc>
      </w:tr>
    </w:tbl>
    <w:p w14:paraId="0D8814FF" w14:textId="1F743F3F" w:rsidR="003A31D2" w:rsidRPr="00D008D9" w:rsidRDefault="003A31D2" w:rsidP="003A31D2">
      <w:pPr>
        <w:pStyle w:val="0"/>
        <w:spacing w:before="120" w:after="120"/>
        <w:rPr>
          <w:lang w:val="uk-UA"/>
        </w:rPr>
      </w:pPr>
      <w:bookmarkStart w:id="116" w:name="_Toc475007907"/>
      <w:bookmarkStart w:id="117" w:name="_Toc475522354"/>
      <w:r w:rsidRPr="00D008D9">
        <w:rPr>
          <w:lang w:val="uk-UA"/>
        </w:rPr>
        <w:t xml:space="preserve">Компанія на постійній основі проводить індивідуальну оцінку для окремих значних дебіторів з характеристиками кредитного ризику. Компанія визнає резерв та збиток на торгову та іншу дебіторську заборгованість, термін погашення якої був прострочений більше </w:t>
      </w:r>
      <w:r w:rsidRPr="00924AD3">
        <w:rPr>
          <w:lang w:val="uk-UA"/>
        </w:rPr>
        <w:t>ніж 3</w:t>
      </w:r>
      <w:r w:rsidR="008E01FD" w:rsidRPr="00924AD3">
        <w:rPr>
          <w:lang w:val="uk-UA"/>
        </w:rPr>
        <w:t>40</w:t>
      </w:r>
      <w:r w:rsidRPr="00D008D9">
        <w:rPr>
          <w:lang w:val="uk-UA"/>
        </w:rPr>
        <w:t xml:space="preserve"> днів, оскільки історичний досвід вказує, що така заборгованість, як правило не відшкодовується або відшкодовується </w:t>
      </w:r>
      <w:r w:rsidR="00EB35D4" w:rsidRPr="00D008D9">
        <w:rPr>
          <w:lang w:val="uk-UA"/>
        </w:rPr>
        <w:t>через певний час.</w:t>
      </w:r>
    </w:p>
    <w:p w14:paraId="796071D2" w14:textId="007FFF37" w:rsidR="00EB35D4" w:rsidRPr="00D008D9" w:rsidRDefault="00EB35D4" w:rsidP="003A31D2">
      <w:pPr>
        <w:pStyle w:val="0"/>
        <w:spacing w:before="120" w:after="120"/>
        <w:rPr>
          <w:lang w:val="uk-UA"/>
        </w:rPr>
      </w:pPr>
      <w:r w:rsidRPr="00D008D9">
        <w:rPr>
          <w:lang w:val="uk-UA"/>
        </w:rPr>
        <w:t>Компанія списує торгову та іншу дебіторську заборгованість при наявності інформації, яка вказує що боржник має серйозні фінансові труднощі, і ймовірність відшкодування відсутня, наприклад, в разі, коли боржник перебуває в стадії ліквідації або банкрутства або, в разі, торгової дебіторської заборгованості, якщо суми прострочені більш ніж на три роки (в залежності від того, яка подія настає раніше). Відносно списаної торгової та іншої дебіторської заборгованості не проводиться процедур примусового стягнення.</w:t>
      </w:r>
    </w:p>
    <w:p w14:paraId="51AE955E" w14:textId="29369795" w:rsidR="00920BA5" w:rsidRPr="00D008D9" w:rsidRDefault="006E5039" w:rsidP="003F1844">
      <w:pPr>
        <w:pStyle w:val="1"/>
        <w:rPr>
          <w:color w:val="000000" w:themeColor="text1"/>
          <w:szCs w:val="20"/>
        </w:rPr>
      </w:pPr>
      <w:bookmarkStart w:id="118" w:name="_Toc68253968"/>
      <w:r w:rsidRPr="00D008D9">
        <w:rPr>
          <w:color w:val="000000" w:themeColor="text1"/>
          <w:szCs w:val="20"/>
        </w:rPr>
        <w:lastRenderedPageBreak/>
        <w:t xml:space="preserve">Грошові </w:t>
      </w:r>
      <w:r w:rsidR="00462939" w:rsidRPr="00D008D9">
        <w:rPr>
          <w:color w:val="000000" w:themeColor="text1"/>
          <w:szCs w:val="20"/>
        </w:rPr>
        <w:t>кошти та їх еквіваленти</w:t>
      </w:r>
      <w:bookmarkEnd w:id="116"/>
      <w:bookmarkEnd w:id="117"/>
      <w:bookmarkEnd w:id="118"/>
    </w:p>
    <w:tbl>
      <w:tblPr>
        <w:tblW w:w="5001" w:type="pct"/>
        <w:tblLook w:val="0000" w:firstRow="0" w:lastRow="0" w:firstColumn="0" w:lastColumn="0" w:noHBand="0" w:noVBand="0"/>
      </w:tblPr>
      <w:tblGrid>
        <w:gridCol w:w="5517"/>
        <w:gridCol w:w="2061"/>
        <w:gridCol w:w="2061"/>
      </w:tblGrid>
      <w:tr w:rsidR="00D008D9" w:rsidRPr="00D008D9" w14:paraId="632F4E7C" w14:textId="77777777" w:rsidTr="007A1D62">
        <w:trPr>
          <w:trHeight w:val="380"/>
          <w:tblHeader/>
        </w:trPr>
        <w:tc>
          <w:tcPr>
            <w:tcW w:w="2862" w:type="pct"/>
            <w:tcBorders>
              <w:left w:val="nil"/>
              <w:bottom w:val="single" w:sz="4" w:space="0" w:color="auto"/>
              <w:right w:val="nil"/>
            </w:tcBorders>
            <w:vAlign w:val="center"/>
          </w:tcPr>
          <w:p w14:paraId="31A5224C" w14:textId="32D484E5" w:rsidR="00D008D9" w:rsidRPr="00D008D9" w:rsidRDefault="00D008D9" w:rsidP="00D008D9">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15.1 Грошові кошти у Звіті про фінансовий стан</w:t>
            </w:r>
          </w:p>
        </w:tc>
        <w:tc>
          <w:tcPr>
            <w:tcW w:w="1069" w:type="pct"/>
            <w:tcBorders>
              <w:left w:val="nil"/>
              <w:bottom w:val="single" w:sz="4" w:space="0" w:color="auto"/>
              <w:right w:val="nil"/>
            </w:tcBorders>
            <w:vAlign w:val="center"/>
          </w:tcPr>
          <w:p w14:paraId="27218DB6" w14:textId="35DB60F3" w:rsidR="00D008D9" w:rsidRPr="00D008D9" w:rsidRDefault="00D008D9" w:rsidP="00D008D9">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31.12.2020</w:t>
            </w:r>
          </w:p>
        </w:tc>
        <w:tc>
          <w:tcPr>
            <w:tcW w:w="1069" w:type="pct"/>
            <w:tcBorders>
              <w:left w:val="nil"/>
              <w:bottom w:val="single" w:sz="4" w:space="0" w:color="auto"/>
              <w:right w:val="nil"/>
            </w:tcBorders>
            <w:vAlign w:val="center"/>
          </w:tcPr>
          <w:p w14:paraId="4D463943" w14:textId="27E60A56" w:rsidR="00D008D9" w:rsidRPr="00D008D9" w:rsidRDefault="00D008D9" w:rsidP="00D008D9">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31.12.2019</w:t>
            </w:r>
          </w:p>
        </w:tc>
      </w:tr>
      <w:tr w:rsidR="00D008D9" w:rsidRPr="00D008D9" w14:paraId="16C25A09" w14:textId="77777777" w:rsidTr="00E262F0">
        <w:trPr>
          <w:trHeight w:val="255"/>
        </w:trPr>
        <w:tc>
          <w:tcPr>
            <w:tcW w:w="2862" w:type="pct"/>
            <w:tcBorders>
              <w:top w:val="nil"/>
              <w:left w:val="nil"/>
              <w:bottom w:val="nil"/>
              <w:right w:val="nil"/>
            </w:tcBorders>
            <w:vAlign w:val="bottom"/>
          </w:tcPr>
          <w:p w14:paraId="28E2DA9E" w14:textId="5458D2F8" w:rsidR="00D008D9" w:rsidRPr="00D008D9" w:rsidRDefault="00D008D9" w:rsidP="00D008D9">
            <w:pPr>
              <w:jc w:val="left"/>
              <w:rPr>
                <w:rFonts w:asciiTheme="minorHAnsi" w:hAnsiTheme="minorHAnsi" w:cstheme="minorHAnsi"/>
                <w:color w:val="000000" w:themeColor="text1"/>
                <w:szCs w:val="20"/>
              </w:rPr>
            </w:pPr>
            <w:r w:rsidRPr="00D008D9">
              <w:rPr>
                <w:color w:val="000000" w:themeColor="text1"/>
                <w:szCs w:val="20"/>
              </w:rPr>
              <w:t>Гроші на банківських рахунках в українській гривні</w:t>
            </w:r>
          </w:p>
        </w:tc>
        <w:tc>
          <w:tcPr>
            <w:tcW w:w="1069" w:type="pct"/>
            <w:tcBorders>
              <w:top w:val="nil"/>
              <w:left w:val="nil"/>
              <w:bottom w:val="nil"/>
              <w:right w:val="nil"/>
            </w:tcBorders>
            <w:vAlign w:val="bottom"/>
          </w:tcPr>
          <w:p w14:paraId="21E9A4A2" w14:textId="476B43EE"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 xml:space="preserve">10 800 </w:t>
            </w:r>
          </w:p>
        </w:tc>
        <w:tc>
          <w:tcPr>
            <w:tcW w:w="1069" w:type="pct"/>
            <w:tcBorders>
              <w:top w:val="nil"/>
              <w:left w:val="nil"/>
              <w:bottom w:val="nil"/>
              <w:right w:val="nil"/>
            </w:tcBorders>
            <w:vAlign w:val="bottom"/>
          </w:tcPr>
          <w:p w14:paraId="1B5DAE66" w14:textId="5589843D"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 xml:space="preserve">10 269 </w:t>
            </w:r>
          </w:p>
        </w:tc>
      </w:tr>
      <w:tr w:rsidR="00D008D9" w:rsidRPr="00D008D9" w14:paraId="5376C891" w14:textId="77777777" w:rsidTr="00E262F0">
        <w:trPr>
          <w:trHeight w:val="255"/>
        </w:trPr>
        <w:tc>
          <w:tcPr>
            <w:tcW w:w="2862" w:type="pct"/>
            <w:tcBorders>
              <w:top w:val="nil"/>
              <w:left w:val="nil"/>
              <w:bottom w:val="nil"/>
              <w:right w:val="nil"/>
            </w:tcBorders>
            <w:vAlign w:val="bottom"/>
          </w:tcPr>
          <w:p w14:paraId="05C28BB1" w14:textId="6EA253B3" w:rsidR="00D008D9" w:rsidRPr="00D008D9" w:rsidRDefault="00D008D9" w:rsidP="00D008D9">
            <w:pPr>
              <w:jc w:val="left"/>
              <w:rPr>
                <w:rFonts w:asciiTheme="minorHAnsi" w:hAnsiTheme="minorHAnsi" w:cstheme="minorHAnsi"/>
                <w:color w:val="000000" w:themeColor="text1"/>
                <w:szCs w:val="20"/>
              </w:rPr>
            </w:pPr>
            <w:r w:rsidRPr="00D008D9">
              <w:rPr>
                <w:color w:val="000000" w:themeColor="text1"/>
                <w:szCs w:val="20"/>
              </w:rPr>
              <w:t>Гроші на банківських рахунках в іноземній валюті</w:t>
            </w:r>
          </w:p>
        </w:tc>
        <w:tc>
          <w:tcPr>
            <w:tcW w:w="1069" w:type="pct"/>
            <w:tcBorders>
              <w:top w:val="nil"/>
              <w:left w:val="nil"/>
              <w:bottom w:val="nil"/>
              <w:right w:val="nil"/>
            </w:tcBorders>
            <w:vAlign w:val="bottom"/>
          </w:tcPr>
          <w:p w14:paraId="1375CBA9" w14:textId="0B0E7279"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1 138</w:t>
            </w:r>
          </w:p>
        </w:tc>
        <w:tc>
          <w:tcPr>
            <w:tcW w:w="1069" w:type="pct"/>
            <w:tcBorders>
              <w:top w:val="nil"/>
              <w:left w:val="nil"/>
              <w:bottom w:val="nil"/>
              <w:right w:val="nil"/>
            </w:tcBorders>
            <w:vAlign w:val="bottom"/>
          </w:tcPr>
          <w:p w14:paraId="2912DB60" w14:textId="605EA4DA"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 xml:space="preserve">1 150 </w:t>
            </w:r>
          </w:p>
        </w:tc>
      </w:tr>
      <w:tr w:rsidR="00D008D9" w:rsidRPr="00D008D9" w14:paraId="1A5EB8E8" w14:textId="77777777" w:rsidTr="00E262F0">
        <w:trPr>
          <w:trHeight w:val="255"/>
        </w:trPr>
        <w:tc>
          <w:tcPr>
            <w:tcW w:w="2862" w:type="pct"/>
            <w:tcBorders>
              <w:top w:val="nil"/>
              <w:left w:val="nil"/>
              <w:bottom w:val="nil"/>
              <w:right w:val="nil"/>
            </w:tcBorders>
            <w:vAlign w:val="bottom"/>
          </w:tcPr>
          <w:p w14:paraId="3904BA1A" w14:textId="024C0A30" w:rsidR="00D008D9" w:rsidRPr="00D008D9" w:rsidRDefault="00D008D9" w:rsidP="00D008D9">
            <w:pPr>
              <w:jc w:val="left"/>
              <w:rPr>
                <w:rFonts w:asciiTheme="minorHAnsi" w:hAnsiTheme="minorHAnsi" w:cstheme="minorHAnsi"/>
                <w:color w:val="000000" w:themeColor="text1"/>
                <w:szCs w:val="20"/>
              </w:rPr>
            </w:pPr>
            <w:r w:rsidRPr="00D008D9">
              <w:rPr>
                <w:color w:val="000000" w:themeColor="text1"/>
                <w:szCs w:val="20"/>
              </w:rPr>
              <w:t>Інші рахунки в національній валюті</w:t>
            </w:r>
          </w:p>
        </w:tc>
        <w:tc>
          <w:tcPr>
            <w:tcW w:w="1069" w:type="pct"/>
            <w:tcBorders>
              <w:top w:val="nil"/>
              <w:left w:val="nil"/>
              <w:bottom w:val="nil"/>
              <w:right w:val="nil"/>
            </w:tcBorders>
            <w:vAlign w:val="bottom"/>
          </w:tcPr>
          <w:p w14:paraId="05643F15" w14:textId="17ACB23F"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 xml:space="preserve">22 </w:t>
            </w:r>
          </w:p>
        </w:tc>
        <w:tc>
          <w:tcPr>
            <w:tcW w:w="1069" w:type="pct"/>
            <w:tcBorders>
              <w:top w:val="nil"/>
              <w:left w:val="nil"/>
              <w:bottom w:val="nil"/>
              <w:right w:val="nil"/>
            </w:tcBorders>
            <w:vAlign w:val="bottom"/>
          </w:tcPr>
          <w:p w14:paraId="71D4AE9D" w14:textId="2541B735"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 xml:space="preserve">13 </w:t>
            </w:r>
          </w:p>
        </w:tc>
      </w:tr>
      <w:tr w:rsidR="00D008D9" w:rsidRPr="008756CD" w14:paraId="00B6E047" w14:textId="77777777" w:rsidTr="00E262F0">
        <w:trPr>
          <w:trHeight w:val="255"/>
        </w:trPr>
        <w:tc>
          <w:tcPr>
            <w:tcW w:w="2862" w:type="pct"/>
            <w:tcBorders>
              <w:top w:val="single" w:sz="4" w:space="0" w:color="auto"/>
              <w:left w:val="nil"/>
              <w:bottom w:val="nil"/>
              <w:right w:val="nil"/>
            </w:tcBorders>
            <w:noWrap/>
            <w:vAlign w:val="bottom"/>
          </w:tcPr>
          <w:p w14:paraId="3EE85B5F" w14:textId="77777777" w:rsidR="00D008D9" w:rsidRPr="00D008D9" w:rsidRDefault="00D008D9" w:rsidP="00D008D9">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Разом:</w:t>
            </w:r>
          </w:p>
        </w:tc>
        <w:tc>
          <w:tcPr>
            <w:tcW w:w="1069" w:type="pct"/>
            <w:tcBorders>
              <w:top w:val="single" w:sz="4" w:space="0" w:color="auto"/>
              <w:left w:val="nil"/>
              <w:bottom w:val="nil"/>
              <w:right w:val="nil"/>
            </w:tcBorders>
            <w:vAlign w:val="bottom"/>
          </w:tcPr>
          <w:p w14:paraId="7306231A" w14:textId="5929114F" w:rsidR="00D008D9" w:rsidRPr="00D008D9" w:rsidRDefault="00D008D9" w:rsidP="00D008D9">
            <w:pPr>
              <w:jc w:val="right"/>
              <w:rPr>
                <w:rFonts w:asciiTheme="minorHAnsi" w:hAnsiTheme="minorHAnsi" w:cstheme="minorHAnsi"/>
                <w:b/>
                <w:bCs/>
                <w:color w:val="000000" w:themeColor="text1"/>
                <w:szCs w:val="20"/>
              </w:rPr>
            </w:pPr>
            <w:r w:rsidRPr="00D008D9">
              <w:rPr>
                <w:b/>
                <w:bCs/>
                <w:color w:val="000000" w:themeColor="text1"/>
                <w:szCs w:val="20"/>
              </w:rPr>
              <w:t xml:space="preserve">11 960 </w:t>
            </w:r>
          </w:p>
        </w:tc>
        <w:tc>
          <w:tcPr>
            <w:tcW w:w="1069" w:type="pct"/>
            <w:tcBorders>
              <w:top w:val="single" w:sz="4" w:space="0" w:color="auto"/>
              <w:left w:val="nil"/>
              <w:bottom w:val="nil"/>
              <w:right w:val="nil"/>
            </w:tcBorders>
            <w:vAlign w:val="bottom"/>
          </w:tcPr>
          <w:p w14:paraId="4D7D833F" w14:textId="509170A6" w:rsidR="00D008D9" w:rsidRPr="00D008D9" w:rsidRDefault="00D008D9" w:rsidP="00D008D9">
            <w:pPr>
              <w:jc w:val="right"/>
              <w:rPr>
                <w:rFonts w:asciiTheme="minorHAnsi" w:hAnsiTheme="minorHAnsi" w:cstheme="minorHAnsi"/>
                <w:b/>
                <w:bCs/>
                <w:color w:val="000000" w:themeColor="text1"/>
                <w:szCs w:val="20"/>
              </w:rPr>
            </w:pPr>
            <w:r w:rsidRPr="00D008D9">
              <w:rPr>
                <w:b/>
                <w:bCs/>
                <w:color w:val="000000" w:themeColor="text1"/>
                <w:szCs w:val="20"/>
              </w:rPr>
              <w:t xml:space="preserve">11 432 </w:t>
            </w:r>
          </w:p>
        </w:tc>
      </w:tr>
    </w:tbl>
    <w:p w14:paraId="5654D9C4" w14:textId="7DC75BB0" w:rsidR="00E262F0" w:rsidRPr="00D008D9" w:rsidRDefault="004963CF" w:rsidP="00E262F0">
      <w:pPr>
        <w:pStyle w:val="1"/>
        <w:rPr>
          <w:color w:val="000000" w:themeColor="text1"/>
          <w:szCs w:val="20"/>
        </w:rPr>
      </w:pPr>
      <w:bookmarkStart w:id="119" w:name="_Toc68253969"/>
      <w:bookmarkStart w:id="120" w:name="_Toc475007908"/>
      <w:bookmarkStart w:id="121" w:name="_Toc475522355"/>
      <w:r w:rsidRPr="00D008D9">
        <w:rPr>
          <w:color w:val="000000" w:themeColor="text1"/>
          <w:szCs w:val="20"/>
        </w:rPr>
        <w:t>Інші оборотні активи</w:t>
      </w:r>
      <w:bookmarkEnd w:id="119"/>
    </w:p>
    <w:tbl>
      <w:tblPr>
        <w:tblW w:w="5001" w:type="pct"/>
        <w:tblLook w:val="0000" w:firstRow="0" w:lastRow="0" w:firstColumn="0" w:lastColumn="0" w:noHBand="0" w:noVBand="0"/>
      </w:tblPr>
      <w:tblGrid>
        <w:gridCol w:w="5517"/>
        <w:gridCol w:w="2061"/>
        <w:gridCol w:w="2061"/>
      </w:tblGrid>
      <w:tr w:rsidR="00D008D9" w:rsidRPr="00D008D9" w14:paraId="6C45DDE8" w14:textId="77777777" w:rsidTr="007A1D62">
        <w:trPr>
          <w:trHeight w:val="396"/>
          <w:tblHeader/>
        </w:trPr>
        <w:tc>
          <w:tcPr>
            <w:tcW w:w="2862" w:type="pct"/>
            <w:tcBorders>
              <w:left w:val="nil"/>
              <w:bottom w:val="single" w:sz="4" w:space="0" w:color="auto"/>
              <w:right w:val="nil"/>
            </w:tcBorders>
            <w:vAlign w:val="center"/>
          </w:tcPr>
          <w:p w14:paraId="10331B62" w14:textId="12A9DEE1" w:rsidR="00D008D9" w:rsidRPr="00D008D9" w:rsidRDefault="00D008D9" w:rsidP="00D008D9">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16.1 Інші оборотні активи</w:t>
            </w:r>
          </w:p>
        </w:tc>
        <w:tc>
          <w:tcPr>
            <w:tcW w:w="1069" w:type="pct"/>
            <w:tcBorders>
              <w:left w:val="nil"/>
              <w:bottom w:val="single" w:sz="4" w:space="0" w:color="auto"/>
              <w:right w:val="nil"/>
            </w:tcBorders>
            <w:vAlign w:val="center"/>
          </w:tcPr>
          <w:p w14:paraId="13AE36A7" w14:textId="21A1C382" w:rsidR="00D008D9" w:rsidRPr="00D008D9" w:rsidRDefault="00D008D9" w:rsidP="00D008D9">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31.12.2020</w:t>
            </w:r>
          </w:p>
        </w:tc>
        <w:tc>
          <w:tcPr>
            <w:tcW w:w="1069" w:type="pct"/>
            <w:tcBorders>
              <w:left w:val="nil"/>
              <w:bottom w:val="single" w:sz="4" w:space="0" w:color="auto"/>
              <w:right w:val="nil"/>
            </w:tcBorders>
            <w:vAlign w:val="center"/>
          </w:tcPr>
          <w:p w14:paraId="1D73530D" w14:textId="1234D312" w:rsidR="00D008D9" w:rsidRPr="00D008D9" w:rsidRDefault="00D008D9" w:rsidP="00D008D9">
            <w:pPr>
              <w:jc w:val="right"/>
              <w:rPr>
                <w:rFonts w:asciiTheme="minorHAnsi" w:hAnsiTheme="minorHAnsi" w:cstheme="minorHAnsi"/>
                <w:b/>
                <w:color w:val="000000" w:themeColor="text1"/>
                <w:szCs w:val="20"/>
              </w:rPr>
            </w:pPr>
            <w:r w:rsidRPr="00D008D9">
              <w:rPr>
                <w:rFonts w:asciiTheme="minorHAnsi" w:hAnsiTheme="minorHAnsi" w:cstheme="minorHAnsi"/>
                <w:b/>
                <w:color w:val="000000" w:themeColor="text1"/>
                <w:szCs w:val="20"/>
              </w:rPr>
              <w:t>31.12.2019</w:t>
            </w:r>
          </w:p>
        </w:tc>
      </w:tr>
      <w:tr w:rsidR="00D008D9" w:rsidRPr="00D008D9" w14:paraId="57225F83" w14:textId="77777777" w:rsidTr="007A1D62">
        <w:trPr>
          <w:trHeight w:val="255"/>
        </w:trPr>
        <w:tc>
          <w:tcPr>
            <w:tcW w:w="2862" w:type="pct"/>
            <w:tcBorders>
              <w:top w:val="nil"/>
              <w:left w:val="nil"/>
              <w:bottom w:val="nil"/>
              <w:right w:val="nil"/>
            </w:tcBorders>
            <w:vAlign w:val="bottom"/>
          </w:tcPr>
          <w:p w14:paraId="4F5EF25C" w14:textId="0EB680B7" w:rsidR="00D008D9" w:rsidRPr="00D008D9" w:rsidRDefault="00D008D9" w:rsidP="00D008D9">
            <w:pPr>
              <w:jc w:val="left"/>
              <w:rPr>
                <w:rFonts w:asciiTheme="minorHAnsi" w:hAnsiTheme="minorHAnsi" w:cstheme="minorHAnsi"/>
                <w:color w:val="000000" w:themeColor="text1"/>
                <w:szCs w:val="20"/>
              </w:rPr>
            </w:pPr>
            <w:r w:rsidRPr="00D008D9">
              <w:rPr>
                <w:rFonts w:asciiTheme="minorHAnsi" w:hAnsiTheme="minorHAnsi" w:cstheme="minorHAnsi"/>
                <w:color w:val="000000" w:themeColor="text1"/>
                <w:szCs w:val="20"/>
              </w:rPr>
              <w:t>Податковий кредит</w:t>
            </w:r>
            <w:r w:rsidR="004063FC">
              <w:rPr>
                <w:rFonts w:asciiTheme="minorHAnsi" w:hAnsiTheme="minorHAnsi" w:cstheme="minorHAnsi"/>
                <w:color w:val="000000" w:themeColor="text1"/>
                <w:szCs w:val="20"/>
              </w:rPr>
              <w:t xml:space="preserve"> з ПДВ</w:t>
            </w:r>
          </w:p>
        </w:tc>
        <w:tc>
          <w:tcPr>
            <w:tcW w:w="1069" w:type="pct"/>
            <w:tcBorders>
              <w:top w:val="nil"/>
              <w:left w:val="nil"/>
              <w:bottom w:val="nil"/>
              <w:right w:val="nil"/>
            </w:tcBorders>
            <w:vAlign w:val="bottom"/>
          </w:tcPr>
          <w:p w14:paraId="08848E9D" w14:textId="25948DA6" w:rsidR="00D008D9" w:rsidRPr="00924AD3" w:rsidRDefault="00206B0B" w:rsidP="00D008D9">
            <w:pPr>
              <w:jc w:val="right"/>
              <w:rPr>
                <w:rFonts w:asciiTheme="minorHAnsi" w:hAnsiTheme="minorHAnsi" w:cstheme="minorHAnsi"/>
                <w:color w:val="000000" w:themeColor="text1"/>
                <w:szCs w:val="20"/>
              </w:rPr>
            </w:pPr>
            <w:r w:rsidRPr="00924AD3">
              <w:rPr>
                <w:color w:val="000000" w:themeColor="text1"/>
                <w:szCs w:val="20"/>
              </w:rPr>
              <w:t>703</w:t>
            </w:r>
          </w:p>
        </w:tc>
        <w:tc>
          <w:tcPr>
            <w:tcW w:w="1069" w:type="pct"/>
            <w:tcBorders>
              <w:top w:val="nil"/>
              <w:left w:val="nil"/>
              <w:bottom w:val="nil"/>
              <w:right w:val="nil"/>
            </w:tcBorders>
            <w:vAlign w:val="bottom"/>
          </w:tcPr>
          <w:p w14:paraId="605FD2AF" w14:textId="36A12776" w:rsidR="00D008D9" w:rsidRPr="00D008D9" w:rsidRDefault="00D008D9" w:rsidP="00D008D9">
            <w:pPr>
              <w:jc w:val="right"/>
              <w:rPr>
                <w:rFonts w:asciiTheme="minorHAnsi" w:hAnsiTheme="minorHAnsi" w:cstheme="minorHAnsi"/>
                <w:color w:val="000000" w:themeColor="text1"/>
                <w:szCs w:val="20"/>
              </w:rPr>
            </w:pPr>
            <w:r w:rsidRPr="00D008D9">
              <w:rPr>
                <w:color w:val="000000" w:themeColor="text1"/>
                <w:szCs w:val="20"/>
              </w:rPr>
              <w:t>1 155</w:t>
            </w:r>
          </w:p>
        </w:tc>
      </w:tr>
      <w:tr w:rsidR="00D008D9" w:rsidRPr="00D008D9" w14:paraId="4B51C28B" w14:textId="77777777" w:rsidTr="007A1D62">
        <w:trPr>
          <w:trHeight w:val="255"/>
        </w:trPr>
        <w:tc>
          <w:tcPr>
            <w:tcW w:w="2862" w:type="pct"/>
            <w:tcBorders>
              <w:top w:val="nil"/>
              <w:left w:val="nil"/>
              <w:bottom w:val="nil"/>
              <w:right w:val="nil"/>
            </w:tcBorders>
            <w:vAlign w:val="bottom"/>
          </w:tcPr>
          <w:p w14:paraId="3D099E24" w14:textId="684423F6" w:rsidR="00D008D9" w:rsidRPr="00D008D9" w:rsidRDefault="004063FC" w:rsidP="00D008D9">
            <w:pPr>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Податкові</w:t>
            </w:r>
            <w:r w:rsidR="00D008D9" w:rsidRPr="00D008D9">
              <w:rPr>
                <w:rFonts w:asciiTheme="minorHAnsi" w:hAnsiTheme="minorHAnsi" w:cstheme="minorHAnsi"/>
                <w:color w:val="000000" w:themeColor="text1"/>
                <w:szCs w:val="20"/>
              </w:rPr>
              <w:t xml:space="preserve"> зобов’язання</w:t>
            </w:r>
            <w:r>
              <w:rPr>
                <w:rFonts w:asciiTheme="minorHAnsi" w:hAnsiTheme="minorHAnsi" w:cstheme="minorHAnsi"/>
                <w:color w:val="000000" w:themeColor="text1"/>
                <w:szCs w:val="20"/>
              </w:rPr>
              <w:t xml:space="preserve"> з ПДВ</w:t>
            </w:r>
          </w:p>
        </w:tc>
        <w:tc>
          <w:tcPr>
            <w:tcW w:w="1069" w:type="pct"/>
            <w:tcBorders>
              <w:top w:val="nil"/>
              <w:left w:val="nil"/>
              <w:bottom w:val="nil"/>
              <w:right w:val="nil"/>
            </w:tcBorders>
            <w:vAlign w:val="bottom"/>
          </w:tcPr>
          <w:p w14:paraId="3504ABA9" w14:textId="3A3EFFE7" w:rsidR="00D008D9" w:rsidRPr="00924AD3" w:rsidRDefault="00206B0B" w:rsidP="00D008D9">
            <w:pPr>
              <w:jc w:val="right"/>
              <w:rPr>
                <w:color w:val="000000" w:themeColor="text1"/>
                <w:szCs w:val="20"/>
              </w:rPr>
            </w:pPr>
            <w:r w:rsidRPr="00924AD3">
              <w:rPr>
                <w:color w:val="000000" w:themeColor="text1"/>
                <w:szCs w:val="20"/>
              </w:rPr>
              <w:t>-</w:t>
            </w:r>
          </w:p>
        </w:tc>
        <w:tc>
          <w:tcPr>
            <w:tcW w:w="1069" w:type="pct"/>
            <w:tcBorders>
              <w:top w:val="nil"/>
              <w:left w:val="nil"/>
              <w:bottom w:val="nil"/>
              <w:right w:val="nil"/>
            </w:tcBorders>
            <w:vAlign w:val="bottom"/>
          </w:tcPr>
          <w:p w14:paraId="0F3A5168" w14:textId="67B7F788" w:rsidR="00D008D9" w:rsidRPr="00D008D9" w:rsidRDefault="00D008D9" w:rsidP="00D008D9">
            <w:pPr>
              <w:jc w:val="right"/>
              <w:rPr>
                <w:color w:val="000000" w:themeColor="text1"/>
                <w:szCs w:val="20"/>
              </w:rPr>
            </w:pPr>
            <w:r w:rsidRPr="00D008D9">
              <w:rPr>
                <w:color w:val="000000" w:themeColor="text1"/>
                <w:szCs w:val="20"/>
              </w:rPr>
              <w:t>-</w:t>
            </w:r>
          </w:p>
        </w:tc>
      </w:tr>
      <w:tr w:rsidR="00D008D9" w:rsidRPr="00D008D9" w14:paraId="337C166E" w14:textId="77777777" w:rsidTr="007A1D62">
        <w:trPr>
          <w:trHeight w:val="255"/>
        </w:trPr>
        <w:tc>
          <w:tcPr>
            <w:tcW w:w="2862" w:type="pct"/>
            <w:tcBorders>
              <w:top w:val="single" w:sz="4" w:space="0" w:color="auto"/>
              <w:left w:val="nil"/>
              <w:bottom w:val="nil"/>
              <w:right w:val="nil"/>
            </w:tcBorders>
            <w:noWrap/>
            <w:vAlign w:val="bottom"/>
          </w:tcPr>
          <w:p w14:paraId="18019985" w14:textId="77777777" w:rsidR="00D008D9" w:rsidRPr="00D008D9" w:rsidRDefault="00D008D9" w:rsidP="00D008D9">
            <w:pPr>
              <w:jc w:val="left"/>
              <w:rPr>
                <w:rFonts w:asciiTheme="minorHAnsi" w:hAnsiTheme="minorHAnsi" w:cstheme="minorHAnsi"/>
                <w:b/>
                <w:bCs/>
                <w:color w:val="000000" w:themeColor="text1"/>
                <w:szCs w:val="20"/>
              </w:rPr>
            </w:pPr>
            <w:r w:rsidRPr="00D008D9">
              <w:rPr>
                <w:rFonts w:asciiTheme="minorHAnsi" w:hAnsiTheme="minorHAnsi" w:cstheme="minorHAnsi"/>
                <w:b/>
                <w:bCs/>
                <w:color w:val="000000" w:themeColor="text1"/>
                <w:szCs w:val="20"/>
              </w:rPr>
              <w:t>Разом:</w:t>
            </w:r>
          </w:p>
        </w:tc>
        <w:tc>
          <w:tcPr>
            <w:tcW w:w="1069" w:type="pct"/>
            <w:tcBorders>
              <w:top w:val="single" w:sz="4" w:space="0" w:color="auto"/>
              <w:left w:val="nil"/>
              <w:bottom w:val="nil"/>
              <w:right w:val="nil"/>
            </w:tcBorders>
            <w:vAlign w:val="bottom"/>
          </w:tcPr>
          <w:p w14:paraId="106B4BED" w14:textId="3E4B0C62" w:rsidR="00D008D9" w:rsidRPr="00D008D9" w:rsidRDefault="00D008D9" w:rsidP="00D008D9">
            <w:pPr>
              <w:jc w:val="right"/>
              <w:rPr>
                <w:rFonts w:asciiTheme="minorHAnsi" w:hAnsiTheme="minorHAnsi" w:cstheme="minorHAnsi"/>
                <w:b/>
                <w:bCs/>
                <w:color w:val="000000" w:themeColor="text1"/>
                <w:szCs w:val="20"/>
              </w:rPr>
            </w:pPr>
            <w:r w:rsidRPr="00D008D9">
              <w:rPr>
                <w:b/>
                <w:bCs/>
                <w:color w:val="000000" w:themeColor="text1"/>
                <w:szCs w:val="20"/>
              </w:rPr>
              <w:t xml:space="preserve">703 </w:t>
            </w:r>
          </w:p>
        </w:tc>
        <w:tc>
          <w:tcPr>
            <w:tcW w:w="1069" w:type="pct"/>
            <w:tcBorders>
              <w:top w:val="single" w:sz="4" w:space="0" w:color="auto"/>
              <w:left w:val="nil"/>
              <w:bottom w:val="nil"/>
              <w:right w:val="nil"/>
            </w:tcBorders>
            <w:vAlign w:val="bottom"/>
          </w:tcPr>
          <w:p w14:paraId="7F4C76F2" w14:textId="0552CF1B" w:rsidR="00D008D9" w:rsidRPr="00D008D9" w:rsidRDefault="00D008D9" w:rsidP="00D008D9">
            <w:pPr>
              <w:jc w:val="right"/>
              <w:rPr>
                <w:rFonts w:asciiTheme="minorHAnsi" w:hAnsiTheme="minorHAnsi" w:cstheme="minorHAnsi"/>
                <w:b/>
                <w:bCs/>
                <w:color w:val="000000" w:themeColor="text1"/>
                <w:szCs w:val="20"/>
              </w:rPr>
            </w:pPr>
            <w:r w:rsidRPr="00D008D9">
              <w:rPr>
                <w:b/>
                <w:bCs/>
                <w:color w:val="000000" w:themeColor="text1"/>
                <w:szCs w:val="20"/>
              </w:rPr>
              <w:t xml:space="preserve">1 155 </w:t>
            </w:r>
          </w:p>
        </w:tc>
      </w:tr>
    </w:tbl>
    <w:p w14:paraId="02C6C61C" w14:textId="5598F2AE" w:rsidR="003C6061" w:rsidRPr="00D008D9" w:rsidRDefault="00462939" w:rsidP="0065373B">
      <w:pPr>
        <w:pStyle w:val="1"/>
        <w:rPr>
          <w:color w:val="000000" w:themeColor="text1"/>
          <w:szCs w:val="20"/>
        </w:rPr>
      </w:pPr>
      <w:bookmarkStart w:id="122" w:name="_Toc68253970"/>
      <w:r w:rsidRPr="00D008D9">
        <w:rPr>
          <w:color w:val="000000" w:themeColor="text1"/>
          <w:szCs w:val="20"/>
        </w:rPr>
        <w:t>Випущений капітал</w:t>
      </w:r>
      <w:bookmarkEnd w:id="120"/>
      <w:bookmarkEnd w:id="121"/>
      <w:bookmarkEnd w:id="122"/>
      <w:r w:rsidRPr="00D008D9">
        <w:rPr>
          <w:color w:val="000000" w:themeColor="text1"/>
          <w:szCs w:val="20"/>
        </w:rPr>
        <w:t xml:space="preserve"> </w:t>
      </w:r>
    </w:p>
    <w:tbl>
      <w:tblPr>
        <w:tblW w:w="5000" w:type="pct"/>
        <w:tblBorders>
          <w:top w:val="single" w:sz="4" w:space="0" w:color="auto"/>
          <w:bottom w:val="double" w:sz="6" w:space="0" w:color="auto"/>
          <w:insideH w:val="single" w:sz="4" w:space="0" w:color="auto"/>
        </w:tblBorders>
        <w:tblLook w:val="0000" w:firstRow="0" w:lastRow="0" w:firstColumn="0" w:lastColumn="0" w:noHBand="0" w:noVBand="0"/>
      </w:tblPr>
      <w:tblGrid>
        <w:gridCol w:w="5515"/>
        <w:gridCol w:w="2060"/>
        <w:gridCol w:w="2062"/>
      </w:tblGrid>
      <w:tr w:rsidR="008A741A" w:rsidRPr="008756CD" w14:paraId="17994A03" w14:textId="77777777" w:rsidTr="00266D77">
        <w:trPr>
          <w:trHeight w:val="510"/>
          <w:tblHeader/>
        </w:trPr>
        <w:tc>
          <w:tcPr>
            <w:tcW w:w="2861" w:type="pct"/>
            <w:tcBorders>
              <w:top w:val="nil"/>
              <w:bottom w:val="single" w:sz="4" w:space="0" w:color="auto"/>
            </w:tcBorders>
            <w:vAlign w:val="center"/>
          </w:tcPr>
          <w:p w14:paraId="1EAACA23" w14:textId="366B5D75" w:rsidR="007A1D62" w:rsidRPr="00D008D9" w:rsidRDefault="003F1844" w:rsidP="00A600F3">
            <w:pPr>
              <w:jc w:val="left"/>
              <w:rPr>
                <w:b/>
                <w:bCs/>
                <w:color w:val="000000" w:themeColor="text1"/>
                <w:szCs w:val="20"/>
              </w:rPr>
            </w:pPr>
            <w:r w:rsidRPr="00D008D9">
              <w:rPr>
                <w:b/>
                <w:bCs/>
                <w:color w:val="000000" w:themeColor="text1"/>
                <w:szCs w:val="20"/>
              </w:rPr>
              <w:t>17</w:t>
            </w:r>
            <w:r w:rsidR="007A1D62" w:rsidRPr="00D008D9">
              <w:rPr>
                <w:b/>
                <w:bCs/>
                <w:color w:val="000000" w:themeColor="text1"/>
                <w:szCs w:val="20"/>
              </w:rPr>
              <w:t xml:space="preserve">.1 Випущений капітал у Звіті про </w:t>
            </w:r>
            <w:r w:rsidR="00266D77" w:rsidRPr="00D008D9">
              <w:rPr>
                <w:b/>
                <w:bCs/>
                <w:color w:val="000000" w:themeColor="text1"/>
                <w:szCs w:val="20"/>
              </w:rPr>
              <w:t>зміни у власному капіталі</w:t>
            </w:r>
          </w:p>
        </w:tc>
        <w:tc>
          <w:tcPr>
            <w:tcW w:w="1069" w:type="pct"/>
            <w:tcBorders>
              <w:top w:val="nil"/>
              <w:bottom w:val="single" w:sz="4" w:space="0" w:color="auto"/>
            </w:tcBorders>
            <w:vAlign w:val="center"/>
          </w:tcPr>
          <w:p w14:paraId="191954E7" w14:textId="3BD3EBA9" w:rsidR="007A1D62" w:rsidRPr="00D008D9" w:rsidRDefault="00D008D9" w:rsidP="00A600F3">
            <w:pPr>
              <w:jc w:val="right"/>
              <w:rPr>
                <w:b/>
                <w:color w:val="000000" w:themeColor="text1"/>
                <w:szCs w:val="20"/>
              </w:rPr>
            </w:pPr>
            <w:r w:rsidRPr="00D008D9">
              <w:rPr>
                <w:b/>
                <w:color w:val="000000" w:themeColor="text1"/>
                <w:szCs w:val="20"/>
              </w:rPr>
              <w:t>31.12.2020</w:t>
            </w:r>
          </w:p>
        </w:tc>
        <w:tc>
          <w:tcPr>
            <w:tcW w:w="1070" w:type="pct"/>
            <w:tcBorders>
              <w:top w:val="nil"/>
              <w:bottom w:val="single" w:sz="4" w:space="0" w:color="auto"/>
            </w:tcBorders>
            <w:noWrap/>
            <w:vAlign w:val="center"/>
          </w:tcPr>
          <w:p w14:paraId="361E4067" w14:textId="0E58785B" w:rsidR="00BB2D11" w:rsidRPr="00D008D9" w:rsidRDefault="00D008D9" w:rsidP="00A600F3">
            <w:pPr>
              <w:jc w:val="right"/>
              <w:rPr>
                <w:b/>
                <w:color w:val="000000" w:themeColor="text1"/>
                <w:szCs w:val="20"/>
              </w:rPr>
            </w:pPr>
            <w:r w:rsidRPr="00D008D9">
              <w:rPr>
                <w:b/>
                <w:color w:val="000000" w:themeColor="text1"/>
                <w:szCs w:val="20"/>
              </w:rPr>
              <w:t>31.12.2019</w:t>
            </w:r>
          </w:p>
          <w:p w14:paraId="7BDAE53D" w14:textId="3970C40F" w:rsidR="007A1D62" w:rsidRPr="00D008D9" w:rsidRDefault="00BB2D11" w:rsidP="00A600F3">
            <w:pPr>
              <w:jc w:val="right"/>
              <w:rPr>
                <w:b/>
                <w:color w:val="000000" w:themeColor="text1"/>
                <w:szCs w:val="20"/>
              </w:rPr>
            </w:pPr>
            <w:r w:rsidRPr="00D008D9">
              <w:rPr>
                <w:b/>
                <w:color w:val="000000" w:themeColor="text1"/>
                <w:szCs w:val="20"/>
              </w:rPr>
              <w:t>(перераховано)</w:t>
            </w:r>
          </w:p>
        </w:tc>
      </w:tr>
      <w:tr w:rsidR="008A741A" w:rsidRPr="008756CD" w14:paraId="7D721E52" w14:textId="77777777" w:rsidTr="00266D77">
        <w:trPr>
          <w:trHeight w:val="255"/>
        </w:trPr>
        <w:tc>
          <w:tcPr>
            <w:tcW w:w="2861" w:type="pct"/>
            <w:tcBorders>
              <w:top w:val="single" w:sz="4" w:space="0" w:color="auto"/>
              <w:bottom w:val="nil"/>
            </w:tcBorders>
            <w:vAlign w:val="bottom"/>
          </w:tcPr>
          <w:p w14:paraId="6EB92616" w14:textId="77777777" w:rsidR="008A741A" w:rsidRPr="00D008D9" w:rsidRDefault="008A741A" w:rsidP="00A600F3">
            <w:pPr>
              <w:pStyle w:val="af7"/>
              <w:spacing w:before="0" w:after="0"/>
              <w:jc w:val="left"/>
              <w:rPr>
                <w:color w:val="000000" w:themeColor="text1"/>
                <w:szCs w:val="20"/>
              </w:rPr>
            </w:pPr>
            <w:r w:rsidRPr="00D008D9">
              <w:rPr>
                <w:color w:val="000000" w:themeColor="text1"/>
                <w:szCs w:val="20"/>
              </w:rPr>
              <w:t>Зареєстрований капітал</w:t>
            </w:r>
          </w:p>
        </w:tc>
        <w:tc>
          <w:tcPr>
            <w:tcW w:w="1069" w:type="pct"/>
            <w:tcBorders>
              <w:top w:val="single" w:sz="4" w:space="0" w:color="auto"/>
              <w:bottom w:val="nil"/>
            </w:tcBorders>
            <w:vAlign w:val="bottom"/>
          </w:tcPr>
          <w:p w14:paraId="4FF70165" w14:textId="443715B0" w:rsidR="008A741A" w:rsidRPr="00D008D9" w:rsidRDefault="008A741A" w:rsidP="00A600F3">
            <w:pPr>
              <w:jc w:val="right"/>
              <w:rPr>
                <w:color w:val="000000" w:themeColor="text1"/>
                <w:szCs w:val="20"/>
              </w:rPr>
            </w:pPr>
            <w:r w:rsidRPr="00D008D9">
              <w:rPr>
                <w:color w:val="000000" w:themeColor="text1"/>
                <w:szCs w:val="20"/>
              </w:rPr>
              <w:t xml:space="preserve">76 600 </w:t>
            </w:r>
          </w:p>
        </w:tc>
        <w:tc>
          <w:tcPr>
            <w:tcW w:w="1070" w:type="pct"/>
            <w:tcBorders>
              <w:top w:val="single" w:sz="4" w:space="0" w:color="auto"/>
              <w:bottom w:val="nil"/>
            </w:tcBorders>
            <w:vAlign w:val="bottom"/>
          </w:tcPr>
          <w:p w14:paraId="51FD4CA4" w14:textId="2F47B9FA" w:rsidR="008A741A" w:rsidRPr="00D008D9" w:rsidRDefault="008A741A" w:rsidP="00A600F3">
            <w:pPr>
              <w:jc w:val="right"/>
              <w:rPr>
                <w:color w:val="000000" w:themeColor="text1"/>
                <w:szCs w:val="20"/>
              </w:rPr>
            </w:pPr>
            <w:r w:rsidRPr="00D008D9">
              <w:rPr>
                <w:color w:val="000000" w:themeColor="text1"/>
                <w:szCs w:val="20"/>
              </w:rPr>
              <w:t xml:space="preserve">76 600 </w:t>
            </w:r>
          </w:p>
        </w:tc>
      </w:tr>
      <w:tr w:rsidR="008A741A" w:rsidRPr="008756CD" w14:paraId="30E7DC6B" w14:textId="77777777" w:rsidTr="00266D77">
        <w:trPr>
          <w:trHeight w:val="255"/>
        </w:trPr>
        <w:tc>
          <w:tcPr>
            <w:tcW w:w="2861" w:type="pct"/>
            <w:tcBorders>
              <w:top w:val="nil"/>
              <w:bottom w:val="single" w:sz="4" w:space="0" w:color="auto"/>
            </w:tcBorders>
            <w:vAlign w:val="bottom"/>
          </w:tcPr>
          <w:p w14:paraId="452B1005" w14:textId="66434712" w:rsidR="008A741A" w:rsidRPr="00D008D9" w:rsidRDefault="008A741A" w:rsidP="00A600F3">
            <w:pPr>
              <w:pStyle w:val="af7"/>
              <w:spacing w:before="0" w:after="0"/>
              <w:jc w:val="left"/>
              <w:rPr>
                <w:color w:val="000000" w:themeColor="text1"/>
                <w:szCs w:val="20"/>
              </w:rPr>
            </w:pPr>
            <w:r w:rsidRPr="00D008D9">
              <w:rPr>
                <w:color w:val="000000" w:themeColor="text1"/>
                <w:szCs w:val="20"/>
              </w:rPr>
              <w:t>Нерозподілений прибуток (збиток)</w:t>
            </w:r>
          </w:p>
        </w:tc>
        <w:tc>
          <w:tcPr>
            <w:tcW w:w="1069" w:type="pct"/>
            <w:tcBorders>
              <w:top w:val="nil"/>
              <w:bottom w:val="single" w:sz="4" w:space="0" w:color="auto"/>
            </w:tcBorders>
            <w:vAlign w:val="bottom"/>
          </w:tcPr>
          <w:p w14:paraId="201263BD" w14:textId="6C01CE35" w:rsidR="008A741A" w:rsidRPr="00D008D9" w:rsidRDefault="00D008D9" w:rsidP="00A600F3">
            <w:pPr>
              <w:jc w:val="right"/>
              <w:rPr>
                <w:color w:val="000000" w:themeColor="text1"/>
                <w:szCs w:val="20"/>
              </w:rPr>
            </w:pPr>
            <w:r w:rsidRPr="00D008D9">
              <w:rPr>
                <w:color w:val="000000" w:themeColor="text1"/>
                <w:szCs w:val="20"/>
              </w:rPr>
              <w:t>626 243</w:t>
            </w:r>
            <w:r w:rsidR="008A741A" w:rsidRPr="00D008D9">
              <w:rPr>
                <w:color w:val="000000" w:themeColor="text1"/>
                <w:szCs w:val="20"/>
              </w:rPr>
              <w:t xml:space="preserve"> </w:t>
            </w:r>
          </w:p>
        </w:tc>
        <w:tc>
          <w:tcPr>
            <w:tcW w:w="1070" w:type="pct"/>
            <w:tcBorders>
              <w:top w:val="nil"/>
              <w:bottom w:val="single" w:sz="4" w:space="0" w:color="auto"/>
            </w:tcBorders>
            <w:vAlign w:val="bottom"/>
          </w:tcPr>
          <w:p w14:paraId="7C890DEB" w14:textId="1B609B2A" w:rsidR="008A741A" w:rsidRPr="00D008D9" w:rsidRDefault="00D008D9" w:rsidP="00A600F3">
            <w:pPr>
              <w:jc w:val="right"/>
              <w:rPr>
                <w:color w:val="000000" w:themeColor="text1"/>
                <w:szCs w:val="20"/>
              </w:rPr>
            </w:pPr>
            <w:r w:rsidRPr="00D008D9">
              <w:rPr>
                <w:color w:val="000000" w:themeColor="text1"/>
                <w:szCs w:val="20"/>
              </w:rPr>
              <w:t>592 911</w:t>
            </w:r>
            <w:r w:rsidR="008A741A" w:rsidRPr="00D008D9">
              <w:rPr>
                <w:color w:val="000000" w:themeColor="text1"/>
                <w:szCs w:val="20"/>
              </w:rPr>
              <w:t xml:space="preserve"> </w:t>
            </w:r>
          </w:p>
        </w:tc>
      </w:tr>
      <w:tr w:rsidR="008A741A" w:rsidRPr="008756CD" w14:paraId="2AC7FE40" w14:textId="77777777" w:rsidTr="00266D77">
        <w:trPr>
          <w:trHeight w:val="255"/>
        </w:trPr>
        <w:tc>
          <w:tcPr>
            <w:tcW w:w="2861" w:type="pct"/>
            <w:tcBorders>
              <w:top w:val="single" w:sz="4" w:space="0" w:color="auto"/>
              <w:bottom w:val="nil"/>
            </w:tcBorders>
            <w:vAlign w:val="bottom"/>
          </w:tcPr>
          <w:p w14:paraId="3B527C2A" w14:textId="77777777" w:rsidR="008A741A" w:rsidRPr="00D008D9" w:rsidRDefault="008A741A" w:rsidP="00A600F3">
            <w:pPr>
              <w:pStyle w:val="af7"/>
              <w:spacing w:before="0" w:after="0"/>
              <w:jc w:val="left"/>
              <w:rPr>
                <w:b/>
                <w:color w:val="000000" w:themeColor="text1"/>
                <w:szCs w:val="20"/>
              </w:rPr>
            </w:pPr>
            <w:r w:rsidRPr="00D008D9">
              <w:rPr>
                <w:b/>
                <w:color w:val="000000" w:themeColor="text1"/>
                <w:szCs w:val="20"/>
              </w:rPr>
              <w:t>Разом:</w:t>
            </w:r>
          </w:p>
        </w:tc>
        <w:tc>
          <w:tcPr>
            <w:tcW w:w="1069" w:type="pct"/>
            <w:tcBorders>
              <w:top w:val="single" w:sz="4" w:space="0" w:color="auto"/>
              <w:bottom w:val="nil"/>
            </w:tcBorders>
            <w:vAlign w:val="bottom"/>
          </w:tcPr>
          <w:p w14:paraId="6672264E" w14:textId="008B9962" w:rsidR="008A741A" w:rsidRPr="00D008D9" w:rsidRDefault="00D008D9" w:rsidP="00A600F3">
            <w:pPr>
              <w:jc w:val="right"/>
              <w:rPr>
                <w:b/>
                <w:color w:val="000000" w:themeColor="text1"/>
                <w:szCs w:val="20"/>
              </w:rPr>
            </w:pPr>
            <w:r w:rsidRPr="00D008D9">
              <w:rPr>
                <w:b/>
                <w:bCs/>
                <w:color w:val="000000" w:themeColor="text1"/>
                <w:szCs w:val="20"/>
              </w:rPr>
              <w:t>702 843</w:t>
            </w:r>
            <w:r w:rsidR="008A741A" w:rsidRPr="00D008D9">
              <w:rPr>
                <w:b/>
                <w:bCs/>
                <w:color w:val="000000" w:themeColor="text1"/>
                <w:szCs w:val="20"/>
              </w:rPr>
              <w:t xml:space="preserve"> </w:t>
            </w:r>
          </w:p>
        </w:tc>
        <w:tc>
          <w:tcPr>
            <w:tcW w:w="1070" w:type="pct"/>
            <w:tcBorders>
              <w:top w:val="single" w:sz="4" w:space="0" w:color="auto"/>
              <w:bottom w:val="nil"/>
            </w:tcBorders>
            <w:vAlign w:val="bottom"/>
          </w:tcPr>
          <w:p w14:paraId="44347060" w14:textId="4C211013" w:rsidR="008A741A" w:rsidRPr="00D008D9" w:rsidRDefault="00D008D9" w:rsidP="00A600F3">
            <w:pPr>
              <w:jc w:val="right"/>
              <w:rPr>
                <w:b/>
                <w:color w:val="000000" w:themeColor="text1"/>
                <w:szCs w:val="20"/>
              </w:rPr>
            </w:pPr>
            <w:r w:rsidRPr="00D008D9">
              <w:rPr>
                <w:b/>
                <w:bCs/>
                <w:color w:val="000000" w:themeColor="text1"/>
                <w:szCs w:val="20"/>
              </w:rPr>
              <w:t>669 511</w:t>
            </w:r>
            <w:r w:rsidR="008A741A" w:rsidRPr="00D008D9">
              <w:rPr>
                <w:b/>
                <w:bCs/>
                <w:color w:val="000000" w:themeColor="text1"/>
                <w:szCs w:val="20"/>
              </w:rPr>
              <w:t xml:space="preserve"> </w:t>
            </w:r>
          </w:p>
        </w:tc>
      </w:tr>
    </w:tbl>
    <w:p w14:paraId="326E0894" w14:textId="16FD9A3E" w:rsidR="00266D77" w:rsidRPr="008756CD" w:rsidRDefault="00266D77" w:rsidP="00A600F3">
      <w:pPr>
        <w:rPr>
          <w:color w:val="000000" w:themeColor="text1"/>
          <w:szCs w:val="20"/>
          <w:highlight w:val="yellow"/>
        </w:rPr>
      </w:pPr>
    </w:p>
    <w:tbl>
      <w:tblPr>
        <w:tblW w:w="5000" w:type="pct"/>
        <w:tblLook w:val="0000" w:firstRow="0" w:lastRow="0" w:firstColumn="0" w:lastColumn="0" w:noHBand="0" w:noVBand="0"/>
      </w:tblPr>
      <w:tblGrid>
        <w:gridCol w:w="3544"/>
        <w:gridCol w:w="1667"/>
        <w:gridCol w:w="1346"/>
        <w:gridCol w:w="1542"/>
        <w:gridCol w:w="1538"/>
      </w:tblGrid>
      <w:tr w:rsidR="00D008D9" w:rsidRPr="008756CD" w14:paraId="338E4675" w14:textId="15F263BA" w:rsidTr="00CF078D">
        <w:trPr>
          <w:trHeight w:val="419"/>
          <w:tblHeader/>
        </w:trPr>
        <w:tc>
          <w:tcPr>
            <w:tcW w:w="1839" w:type="pct"/>
            <w:tcBorders>
              <w:left w:val="nil"/>
              <w:bottom w:val="single" w:sz="4" w:space="0" w:color="auto"/>
              <w:right w:val="nil"/>
            </w:tcBorders>
            <w:shd w:val="clear" w:color="auto" w:fill="FFFFFF"/>
            <w:vAlign w:val="center"/>
          </w:tcPr>
          <w:p w14:paraId="0F9A22A0" w14:textId="7C57B0D7" w:rsidR="00D008D9" w:rsidRPr="00D008D9" w:rsidRDefault="00D008D9" w:rsidP="00D008D9">
            <w:pPr>
              <w:jc w:val="left"/>
              <w:rPr>
                <w:b/>
                <w:bCs/>
                <w:color w:val="000000" w:themeColor="text1"/>
                <w:szCs w:val="20"/>
              </w:rPr>
            </w:pPr>
            <w:r w:rsidRPr="00D008D9">
              <w:rPr>
                <w:b/>
                <w:bCs/>
                <w:color w:val="000000" w:themeColor="text1"/>
                <w:szCs w:val="20"/>
              </w:rPr>
              <w:t>17.2 Найменування власників</w:t>
            </w:r>
          </w:p>
        </w:tc>
        <w:tc>
          <w:tcPr>
            <w:tcW w:w="865" w:type="pct"/>
            <w:tcBorders>
              <w:left w:val="nil"/>
              <w:bottom w:val="single" w:sz="4" w:space="0" w:color="auto"/>
              <w:right w:val="nil"/>
            </w:tcBorders>
            <w:shd w:val="clear" w:color="auto" w:fill="FFFFFF"/>
            <w:vAlign w:val="center"/>
          </w:tcPr>
          <w:p w14:paraId="1D2AF28F" w14:textId="76616DAC" w:rsidR="00D008D9" w:rsidRPr="00D008D9" w:rsidRDefault="00D008D9" w:rsidP="00D008D9">
            <w:pPr>
              <w:jc w:val="right"/>
              <w:rPr>
                <w:b/>
                <w:bCs/>
                <w:color w:val="000000" w:themeColor="text1"/>
                <w:szCs w:val="20"/>
              </w:rPr>
            </w:pPr>
            <w:r w:rsidRPr="00D008D9">
              <w:rPr>
                <w:b/>
                <w:bCs/>
                <w:szCs w:val="20"/>
              </w:rPr>
              <w:t>Кількість власників на 31.12.2020</w:t>
            </w:r>
          </w:p>
        </w:tc>
        <w:tc>
          <w:tcPr>
            <w:tcW w:w="698" w:type="pct"/>
            <w:tcBorders>
              <w:left w:val="nil"/>
              <w:bottom w:val="single" w:sz="4" w:space="0" w:color="auto"/>
              <w:right w:val="nil"/>
            </w:tcBorders>
            <w:shd w:val="clear" w:color="auto" w:fill="FFFFFF"/>
            <w:vAlign w:val="center"/>
          </w:tcPr>
          <w:p w14:paraId="19C2E0DB" w14:textId="302DE172" w:rsidR="00D008D9" w:rsidRPr="00D008D9" w:rsidRDefault="00D008D9" w:rsidP="00D008D9">
            <w:pPr>
              <w:jc w:val="right"/>
              <w:rPr>
                <w:b/>
                <w:bCs/>
                <w:color w:val="000000" w:themeColor="text1"/>
                <w:szCs w:val="20"/>
              </w:rPr>
            </w:pPr>
            <w:r w:rsidRPr="00D008D9">
              <w:rPr>
                <w:b/>
                <w:bCs/>
                <w:szCs w:val="20"/>
              </w:rPr>
              <w:t>Частка у статутному капіталі на 31.12.2020</w:t>
            </w:r>
          </w:p>
        </w:tc>
        <w:tc>
          <w:tcPr>
            <w:tcW w:w="800" w:type="pct"/>
            <w:tcBorders>
              <w:left w:val="nil"/>
              <w:bottom w:val="single" w:sz="4" w:space="0" w:color="auto"/>
              <w:right w:val="nil"/>
            </w:tcBorders>
            <w:shd w:val="clear" w:color="auto" w:fill="FFFFFF"/>
            <w:vAlign w:val="center"/>
          </w:tcPr>
          <w:p w14:paraId="01498910" w14:textId="21810F85" w:rsidR="00D008D9" w:rsidRPr="00D008D9" w:rsidRDefault="00D008D9" w:rsidP="00D008D9">
            <w:pPr>
              <w:jc w:val="right"/>
              <w:rPr>
                <w:b/>
                <w:bCs/>
                <w:color w:val="000000" w:themeColor="text1"/>
                <w:szCs w:val="20"/>
              </w:rPr>
            </w:pPr>
            <w:r w:rsidRPr="00D008D9">
              <w:rPr>
                <w:b/>
                <w:bCs/>
                <w:szCs w:val="20"/>
              </w:rPr>
              <w:t>Кількість власників на 31.12.2019</w:t>
            </w:r>
          </w:p>
        </w:tc>
        <w:tc>
          <w:tcPr>
            <w:tcW w:w="798" w:type="pct"/>
            <w:tcBorders>
              <w:left w:val="nil"/>
              <w:bottom w:val="single" w:sz="4" w:space="0" w:color="auto"/>
              <w:right w:val="nil"/>
            </w:tcBorders>
            <w:shd w:val="clear" w:color="auto" w:fill="FFFFFF"/>
            <w:vAlign w:val="center"/>
          </w:tcPr>
          <w:p w14:paraId="0EE88794" w14:textId="197551D4" w:rsidR="00D008D9" w:rsidRPr="00D008D9" w:rsidRDefault="00D008D9" w:rsidP="00D008D9">
            <w:pPr>
              <w:jc w:val="right"/>
              <w:rPr>
                <w:b/>
                <w:bCs/>
                <w:color w:val="000000" w:themeColor="text1"/>
                <w:szCs w:val="20"/>
              </w:rPr>
            </w:pPr>
            <w:r w:rsidRPr="00D008D9">
              <w:rPr>
                <w:b/>
                <w:bCs/>
                <w:szCs w:val="20"/>
              </w:rPr>
              <w:t>Частка у статутному капіталі на 31.12.2019</w:t>
            </w:r>
          </w:p>
        </w:tc>
      </w:tr>
      <w:tr w:rsidR="00D008D9" w:rsidRPr="008756CD" w14:paraId="25688BEA" w14:textId="09A5E44D" w:rsidTr="00CF078D">
        <w:trPr>
          <w:trHeight w:val="209"/>
        </w:trPr>
        <w:tc>
          <w:tcPr>
            <w:tcW w:w="1839" w:type="pct"/>
            <w:tcBorders>
              <w:top w:val="single" w:sz="4" w:space="0" w:color="auto"/>
              <w:left w:val="nil"/>
              <w:bottom w:val="nil"/>
              <w:right w:val="nil"/>
            </w:tcBorders>
            <w:shd w:val="clear" w:color="auto" w:fill="auto"/>
            <w:vAlign w:val="bottom"/>
          </w:tcPr>
          <w:p w14:paraId="7431BF8E" w14:textId="1B554CCF" w:rsidR="00D008D9" w:rsidRPr="00D008D9" w:rsidRDefault="00D008D9" w:rsidP="00D008D9">
            <w:pPr>
              <w:pStyle w:val="af7"/>
              <w:spacing w:before="0" w:after="0"/>
              <w:jc w:val="left"/>
              <w:rPr>
                <w:color w:val="000000" w:themeColor="text1"/>
                <w:szCs w:val="20"/>
              </w:rPr>
            </w:pPr>
            <w:r w:rsidRPr="00D008D9">
              <w:rPr>
                <w:color w:val="000000" w:themeColor="text1"/>
                <w:szCs w:val="20"/>
              </w:rPr>
              <w:t>Юридичні особи</w:t>
            </w:r>
          </w:p>
        </w:tc>
        <w:tc>
          <w:tcPr>
            <w:tcW w:w="865" w:type="pct"/>
            <w:tcBorders>
              <w:top w:val="single" w:sz="4" w:space="0" w:color="auto"/>
              <w:left w:val="nil"/>
              <w:bottom w:val="nil"/>
              <w:right w:val="nil"/>
            </w:tcBorders>
            <w:shd w:val="clear" w:color="auto" w:fill="auto"/>
            <w:vAlign w:val="bottom"/>
          </w:tcPr>
          <w:p w14:paraId="7BB29FA3" w14:textId="73E66D09" w:rsidR="00D008D9" w:rsidRPr="00D008D9" w:rsidRDefault="00D008D9" w:rsidP="00D008D9">
            <w:pPr>
              <w:jc w:val="right"/>
              <w:rPr>
                <w:color w:val="000000" w:themeColor="text1"/>
                <w:szCs w:val="20"/>
              </w:rPr>
            </w:pPr>
            <w:r w:rsidRPr="00D008D9">
              <w:rPr>
                <w:szCs w:val="20"/>
              </w:rPr>
              <w:t xml:space="preserve">28 </w:t>
            </w:r>
          </w:p>
        </w:tc>
        <w:tc>
          <w:tcPr>
            <w:tcW w:w="698" w:type="pct"/>
            <w:tcBorders>
              <w:top w:val="single" w:sz="4" w:space="0" w:color="auto"/>
              <w:left w:val="nil"/>
              <w:bottom w:val="nil"/>
              <w:right w:val="nil"/>
            </w:tcBorders>
            <w:vAlign w:val="bottom"/>
          </w:tcPr>
          <w:p w14:paraId="78EA9715" w14:textId="5DE6EB1C" w:rsidR="00D008D9" w:rsidRPr="00D008D9" w:rsidRDefault="00D008D9" w:rsidP="00D008D9">
            <w:pPr>
              <w:jc w:val="right"/>
              <w:rPr>
                <w:color w:val="000000" w:themeColor="text1"/>
                <w:szCs w:val="20"/>
              </w:rPr>
            </w:pPr>
            <w:r w:rsidRPr="00D008D9">
              <w:rPr>
                <w:szCs w:val="20"/>
              </w:rPr>
              <w:t>98,86</w:t>
            </w:r>
          </w:p>
        </w:tc>
        <w:tc>
          <w:tcPr>
            <w:tcW w:w="800" w:type="pct"/>
            <w:tcBorders>
              <w:top w:val="single" w:sz="4" w:space="0" w:color="auto"/>
              <w:left w:val="nil"/>
              <w:bottom w:val="nil"/>
              <w:right w:val="nil"/>
            </w:tcBorders>
            <w:vAlign w:val="bottom"/>
          </w:tcPr>
          <w:p w14:paraId="331158B3" w14:textId="029EBC52" w:rsidR="00D008D9" w:rsidRPr="00D008D9" w:rsidRDefault="00D008D9" w:rsidP="00D008D9">
            <w:pPr>
              <w:jc w:val="right"/>
              <w:rPr>
                <w:color w:val="000000" w:themeColor="text1"/>
                <w:szCs w:val="20"/>
              </w:rPr>
            </w:pPr>
            <w:r w:rsidRPr="00D008D9">
              <w:rPr>
                <w:szCs w:val="20"/>
              </w:rPr>
              <w:t xml:space="preserve">28 </w:t>
            </w:r>
          </w:p>
        </w:tc>
        <w:tc>
          <w:tcPr>
            <w:tcW w:w="798" w:type="pct"/>
            <w:tcBorders>
              <w:top w:val="single" w:sz="4" w:space="0" w:color="auto"/>
              <w:left w:val="nil"/>
              <w:bottom w:val="nil"/>
              <w:right w:val="nil"/>
            </w:tcBorders>
            <w:vAlign w:val="bottom"/>
          </w:tcPr>
          <w:p w14:paraId="3C3425E8" w14:textId="2E850C17" w:rsidR="00D008D9" w:rsidRPr="00D008D9" w:rsidRDefault="00D008D9" w:rsidP="00D008D9">
            <w:pPr>
              <w:jc w:val="right"/>
              <w:rPr>
                <w:color w:val="000000" w:themeColor="text1"/>
                <w:szCs w:val="20"/>
              </w:rPr>
            </w:pPr>
            <w:r w:rsidRPr="00D008D9">
              <w:rPr>
                <w:szCs w:val="20"/>
              </w:rPr>
              <w:t>98,86</w:t>
            </w:r>
          </w:p>
        </w:tc>
      </w:tr>
      <w:tr w:rsidR="00D008D9" w:rsidRPr="008756CD" w14:paraId="4E3C2A1B" w14:textId="379EF725" w:rsidTr="00CF078D">
        <w:trPr>
          <w:trHeight w:val="209"/>
        </w:trPr>
        <w:tc>
          <w:tcPr>
            <w:tcW w:w="1839" w:type="pct"/>
            <w:tcBorders>
              <w:left w:val="nil"/>
              <w:bottom w:val="nil"/>
              <w:right w:val="nil"/>
            </w:tcBorders>
            <w:shd w:val="clear" w:color="auto" w:fill="auto"/>
            <w:vAlign w:val="bottom"/>
          </w:tcPr>
          <w:p w14:paraId="36CC4CDA" w14:textId="74A4CD9A" w:rsidR="00D008D9" w:rsidRPr="00D008D9" w:rsidRDefault="00D008D9" w:rsidP="00D008D9">
            <w:pPr>
              <w:pStyle w:val="af7"/>
              <w:spacing w:before="0" w:after="0"/>
              <w:jc w:val="left"/>
              <w:rPr>
                <w:color w:val="000000" w:themeColor="text1"/>
                <w:szCs w:val="20"/>
              </w:rPr>
            </w:pPr>
            <w:r w:rsidRPr="00D008D9">
              <w:rPr>
                <w:color w:val="000000" w:themeColor="text1"/>
                <w:szCs w:val="20"/>
              </w:rPr>
              <w:t>Фізичні особи</w:t>
            </w:r>
          </w:p>
        </w:tc>
        <w:tc>
          <w:tcPr>
            <w:tcW w:w="865" w:type="pct"/>
            <w:tcBorders>
              <w:left w:val="nil"/>
              <w:bottom w:val="nil"/>
              <w:right w:val="nil"/>
            </w:tcBorders>
            <w:shd w:val="clear" w:color="auto" w:fill="auto"/>
            <w:vAlign w:val="bottom"/>
          </w:tcPr>
          <w:p w14:paraId="085A965F" w14:textId="3A6642B8" w:rsidR="00D008D9" w:rsidRPr="00D008D9" w:rsidRDefault="00D008D9" w:rsidP="00D008D9">
            <w:pPr>
              <w:jc w:val="right"/>
              <w:rPr>
                <w:color w:val="000000" w:themeColor="text1"/>
                <w:szCs w:val="20"/>
              </w:rPr>
            </w:pPr>
            <w:r w:rsidRPr="00D008D9">
              <w:rPr>
                <w:szCs w:val="20"/>
              </w:rPr>
              <w:t xml:space="preserve">609 </w:t>
            </w:r>
          </w:p>
        </w:tc>
        <w:tc>
          <w:tcPr>
            <w:tcW w:w="698" w:type="pct"/>
            <w:tcBorders>
              <w:left w:val="nil"/>
              <w:bottom w:val="nil"/>
              <w:right w:val="nil"/>
            </w:tcBorders>
            <w:vAlign w:val="bottom"/>
          </w:tcPr>
          <w:p w14:paraId="1C9906B7" w14:textId="542D38AD" w:rsidR="00D008D9" w:rsidRPr="00D008D9" w:rsidRDefault="00D008D9" w:rsidP="00D008D9">
            <w:pPr>
              <w:jc w:val="right"/>
              <w:rPr>
                <w:color w:val="000000" w:themeColor="text1"/>
                <w:szCs w:val="20"/>
              </w:rPr>
            </w:pPr>
            <w:r w:rsidRPr="00D008D9">
              <w:rPr>
                <w:szCs w:val="20"/>
              </w:rPr>
              <w:t>1,14</w:t>
            </w:r>
          </w:p>
        </w:tc>
        <w:tc>
          <w:tcPr>
            <w:tcW w:w="800" w:type="pct"/>
            <w:tcBorders>
              <w:left w:val="nil"/>
              <w:bottom w:val="nil"/>
              <w:right w:val="nil"/>
            </w:tcBorders>
            <w:vAlign w:val="bottom"/>
          </w:tcPr>
          <w:p w14:paraId="6B7EE144" w14:textId="0F275D03" w:rsidR="00D008D9" w:rsidRPr="00D008D9" w:rsidRDefault="00D008D9" w:rsidP="00D008D9">
            <w:pPr>
              <w:jc w:val="right"/>
              <w:rPr>
                <w:color w:val="000000" w:themeColor="text1"/>
                <w:szCs w:val="20"/>
              </w:rPr>
            </w:pPr>
            <w:r w:rsidRPr="00D008D9">
              <w:rPr>
                <w:szCs w:val="20"/>
              </w:rPr>
              <w:t xml:space="preserve">609 </w:t>
            </w:r>
          </w:p>
        </w:tc>
        <w:tc>
          <w:tcPr>
            <w:tcW w:w="798" w:type="pct"/>
            <w:tcBorders>
              <w:left w:val="nil"/>
              <w:bottom w:val="nil"/>
              <w:right w:val="nil"/>
            </w:tcBorders>
            <w:vAlign w:val="bottom"/>
          </w:tcPr>
          <w:p w14:paraId="687C1351" w14:textId="3CC20C77" w:rsidR="00D008D9" w:rsidRPr="00D008D9" w:rsidRDefault="00D008D9" w:rsidP="00D008D9">
            <w:pPr>
              <w:jc w:val="right"/>
              <w:rPr>
                <w:color w:val="000000" w:themeColor="text1"/>
                <w:szCs w:val="20"/>
              </w:rPr>
            </w:pPr>
            <w:r w:rsidRPr="00D008D9">
              <w:rPr>
                <w:szCs w:val="20"/>
              </w:rPr>
              <w:t>1,14</w:t>
            </w:r>
          </w:p>
        </w:tc>
      </w:tr>
      <w:tr w:rsidR="00D008D9" w:rsidRPr="00D008D9" w14:paraId="2CEA771A" w14:textId="7AFDF233" w:rsidTr="00CF078D">
        <w:trPr>
          <w:trHeight w:val="209"/>
        </w:trPr>
        <w:tc>
          <w:tcPr>
            <w:tcW w:w="1839" w:type="pct"/>
            <w:tcBorders>
              <w:top w:val="single" w:sz="4" w:space="0" w:color="auto"/>
              <w:left w:val="nil"/>
              <w:bottom w:val="nil"/>
              <w:right w:val="nil"/>
            </w:tcBorders>
            <w:shd w:val="clear" w:color="auto" w:fill="FFFFFF"/>
            <w:vAlign w:val="bottom"/>
          </w:tcPr>
          <w:p w14:paraId="2ED6A1A0" w14:textId="77777777" w:rsidR="00D008D9" w:rsidRPr="00D008D9" w:rsidRDefault="00D008D9" w:rsidP="00D008D9">
            <w:pPr>
              <w:jc w:val="left"/>
              <w:rPr>
                <w:b/>
                <w:bCs/>
                <w:color w:val="000000" w:themeColor="text1"/>
                <w:szCs w:val="20"/>
              </w:rPr>
            </w:pPr>
            <w:r w:rsidRPr="00D008D9">
              <w:rPr>
                <w:b/>
                <w:bCs/>
                <w:color w:val="000000" w:themeColor="text1"/>
                <w:szCs w:val="20"/>
              </w:rPr>
              <w:t>Разом:</w:t>
            </w:r>
          </w:p>
        </w:tc>
        <w:tc>
          <w:tcPr>
            <w:tcW w:w="865" w:type="pct"/>
            <w:tcBorders>
              <w:top w:val="single" w:sz="4" w:space="0" w:color="auto"/>
              <w:left w:val="nil"/>
              <w:bottom w:val="nil"/>
              <w:right w:val="nil"/>
            </w:tcBorders>
            <w:shd w:val="clear" w:color="auto" w:fill="FFFFFF"/>
            <w:vAlign w:val="bottom"/>
          </w:tcPr>
          <w:p w14:paraId="68BB1124" w14:textId="56DE9E20" w:rsidR="00D008D9" w:rsidRPr="00D008D9" w:rsidRDefault="00D008D9" w:rsidP="00D008D9">
            <w:pPr>
              <w:jc w:val="right"/>
              <w:rPr>
                <w:b/>
                <w:color w:val="000000" w:themeColor="text1"/>
                <w:szCs w:val="20"/>
              </w:rPr>
            </w:pPr>
            <w:r w:rsidRPr="00D008D9">
              <w:rPr>
                <w:b/>
                <w:bCs/>
                <w:szCs w:val="20"/>
              </w:rPr>
              <w:t xml:space="preserve">637 </w:t>
            </w:r>
          </w:p>
        </w:tc>
        <w:tc>
          <w:tcPr>
            <w:tcW w:w="698" w:type="pct"/>
            <w:tcBorders>
              <w:top w:val="single" w:sz="4" w:space="0" w:color="auto"/>
              <w:left w:val="nil"/>
              <w:bottom w:val="nil"/>
              <w:right w:val="nil"/>
            </w:tcBorders>
            <w:shd w:val="clear" w:color="auto" w:fill="FFFFFF"/>
            <w:vAlign w:val="bottom"/>
          </w:tcPr>
          <w:p w14:paraId="59BDEA74" w14:textId="42CBD77D" w:rsidR="00D008D9" w:rsidRPr="00D008D9" w:rsidRDefault="00D008D9" w:rsidP="00D008D9">
            <w:pPr>
              <w:jc w:val="right"/>
              <w:rPr>
                <w:b/>
                <w:bCs/>
                <w:color w:val="000000" w:themeColor="text1"/>
                <w:szCs w:val="20"/>
              </w:rPr>
            </w:pPr>
            <w:r w:rsidRPr="00D008D9">
              <w:rPr>
                <w:b/>
                <w:bCs/>
                <w:szCs w:val="20"/>
              </w:rPr>
              <w:t xml:space="preserve">100 </w:t>
            </w:r>
          </w:p>
        </w:tc>
        <w:tc>
          <w:tcPr>
            <w:tcW w:w="800" w:type="pct"/>
            <w:tcBorders>
              <w:top w:val="single" w:sz="4" w:space="0" w:color="auto"/>
              <w:left w:val="nil"/>
              <w:bottom w:val="nil"/>
              <w:right w:val="nil"/>
            </w:tcBorders>
            <w:shd w:val="clear" w:color="auto" w:fill="FFFFFF"/>
            <w:vAlign w:val="bottom"/>
          </w:tcPr>
          <w:p w14:paraId="5269D234" w14:textId="7026EF09" w:rsidR="00D008D9" w:rsidRPr="00D008D9" w:rsidRDefault="00D008D9" w:rsidP="00D008D9">
            <w:pPr>
              <w:jc w:val="right"/>
              <w:rPr>
                <w:b/>
                <w:bCs/>
                <w:color w:val="000000" w:themeColor="text1"/>
                <w:szCs w:val="20"/>
              </w:rPr>
            </w:pPr>
            <w:r w:rsidRPr="00D008D9">
              <w:rPr>
                <w:b/>
                <w:bCs/>
                <w:szCs w:val="20"/>
              </w:rPr>
              <w:t xml:space="preserve">637 </w:t>
            </w:r>
          </w:p>
        </w:tc>
        <w:tc>
          <w:tcPr>
            <w:tcW w:w="798" w:type="pct"/>
            <w:tcBorders>
              <w:top w:val="single" w:sz="4" w:space="0" w:color="auto"/>
              <w:left w:val="nil"/>
              <w:bottom w:val="nil"/>
              <w:right w:val="nil"/>
            </w:tcBorders>
            <w:shd w:val="clear" w:color="auto" w:fill="FFFFFF"/>
            <w:vAlign w:val="bottom"/>
          </w:tcPr>
          <w:p w14:paraId="7B417E51" w14:textId="2A292267" w:rsidR="00D008D9" w:rsidRPr="00D008D9" w:rsidRDefault="00D008D9" w:rsidP="00D008D9">
            <w:pPr>
              <w:jc w:val="right"/>
              <w:rPr>
                <w:b/>
                <w:bCs/>
                <w:color w:val="000000" w:themeColor="text1"/>
                <w:szCs w:val="20"/>
              </w:rPr>
            </w:pPr>
            <w:r w:rsidRPr="00D008D9">
              <w:rPr>
                <w:b/>
                <w:bCs/>
                <w:szCs w:val="20"/>
              </w:rPr>
              <w:t xml:space="preserve">100 </w:t>
            </w:r>
          </w:p>
        </w:tc>
      </w:tr>
    </w:tbl>
    <w:p w14:paraId="573C06A4" w14:textId="2627F70F" w:rsidR="00266D77" w:rsidRPr="00D008D9" w:rsidRDefault="00266D77" w:rsidP="00A600F3">
      <w:pPr>
        <w:pStyle w:val="1"/>
        <w:rPr>
          <w:color w:val="000000" w:themeColor="text1"/>
          <w:szCs w:val="20"/>
        </w:rPr>
      </w:pPr>
      <w:bookmarkStart w:id="123" w:name="_Toc68253971"/>
      <w:bookmarkStart w:id="124" w:name="_Toc475007909"/>
      <w:bookmarkStart w:id="125" w:name="_Toc475522356"/>
      <w:r w:rsidRPr="00D008D9">
        <w:rPr>
          <w:color w:val="000000" w:themeColor="text1"/>
          <w:szCs w:val="20"/>
        </w:rPr>
        <w:t>Кредити</w:t>
      </w:r>
      <w:r w:rsidR="009246DC" w:rsidRPr="00D008D9">
        <w:rPr>
          <w:color w:val="000000" w:themeColor="text1"/>
          <w:szCs w:val="20"/>
        </w:rPr>
        <w:t xml:space="preserve"> та позики</w:t>
      </w:r>
      <w:bookmarkEnd w:id="123"/>
    </w:p>
    <w:p w14:paraId="736BFC92" w14:textId="1EB550A6" w:rsidR="00463BA2" w:rsidRPr="00D008D9" w:rsidRDefault="00463BA2" w:rsidP="00A600F3">
      <w:pPr>
        <w:rPr>
          <w:color w:val="000000" w:themeColor="text1"/>
          <w:szCs w:val="20"/>
        </w:rPr>
      </w:pPr>
      <w:r w:rsidRPr="00D008D9">
        <w:rPr>
          <w:color w:val="000000" w:themeColor="text1"/>
          <w:szCs w:val="20"/>
        </w:rPr>
        <w:t xml:space="preserve">Кредити </w:t>
      </w:r>
      <w:r w:rsidR="0031483C" w:rsidRPr="00D008D9">
        <w:rPr>
          <w:color w:val="000000" w:themeColor="text1"/>
          <w:szCs w:val="20"/>
        </w:rPr>
        <w:t xml:space="preserve">та позики </w:t>
      </w:r>
      <w:r w:rsidRPr="00D008D9">
        <w:rPr>
          <w:color w:val="000000" w:themeColor="text1"/>
          <w:szCs w:val="20"/>
        </w:rPr>
        <w:t>Компанії були представлені таким чином:</w:t>
      </w:r>
    </w:p>
    <w:tbl>
      <w:tblPr>
        <w:tblW w:w="5000" w:type="pct"/>
        <w:tblLook w:val="00A0" w:firstRow="1" w:lastRow="0" w:firstColumn="1" w:lastColumn="0" w:noHBand="0" w:noVBand="0"/>
      </w:tblPr>
      <w:tblGrid>
        <w:gridCol w:w="5515"/>
        <w:gridCol w:w="2060"/>
        <w:gridCol w:w="2062"/>
      </w:tblGrid>
      <w:tr w:rsidR="00CF078D" w:rsidRPr="00D008D9" w14:paraId="1D81E680" w14:textId="77777777" w:rsidTr="006725A7">
        <w:trPr>
          <w:trHeight w:val="589"/>
          <w:tblHeader/>
        </w:trPr>
        <w:tc>
          <w:tcPr>
            <w:tcW w:w="2861" w:type="pct"/>
            <w:tcBorders>
              <w:left w:val="nil"/>
              <w:bottom w:val="single" w:sz="4" w:space="0" w:color="auto"/>
              <w:right w:val="nil"/>
            </w:tcBorders>
            <w:shd w:val="clear" w:color="auto" w:fill="FFFFFF"/>
            <w:noWrap/>
            <w:vAlign w:val="center"/>
          </w:tcPr>
          <w:p w14:paraId="34D7B6B1" w14:textId="66C5CA8F" w:rsidR="00266D77" w:rsidRPr="00D008D9" w:rsidRDefault="00CF078D" w:rsidP="00A600F3">
            <w:pPr>
              <w:jc w:val="left"/>
              <w:rPr>
                <w:b/>
                <w:bCs/>
                <w:color w:val="000000" w:themeColor="text1"/>
                <w:szCs w:val="20"/>
              </w:rPr>
            </w:pPr>
            <w:r w:rsidRPr="00D008D9">
              <w:rPr>
                <w:b/>
                <w:bCs/>
                <w:color w:val="000000" w:themeColor="text1"/>
                <w:szCs w:val="20"/>
              </w:rPr>
              <w:t>18</w:t>
            </w:r>
            <w:r w:rsidR="00266D77" w:rsidRPr="00D008D9">
              <w:rPr>
                <w:b/>
                <w:bCs/>
                <w:color w:val="000000" w:themeColor="text1"/>
                <w:szCs w:val="20"/>
              </w:rPr>
              <w:t xml:space="preserve">.1 Кредити </w:t>
            </w:r>
            <w:r w:rsidR="0031483C" w:rsidRPr="00D008D9">
              <w:rPr>
                <w:b/>
                <w:bCs/>
                <w:color w:val="000000" w:themeColor="text1"/>
                <w:szCs w:val="20"/>
              </w:rPr>
              <w:t xml:space="preserve">та позики </w:t>
            </w:r>
            <w:r w:rsidR="00266D77" w:rsidRPr="00D008D9">
              <w:rPr>
                <w:b/>
                <w:bCs/>
                <w:color w:val="000000" w:themeColor="text1"/>
                <w:szCs w:val="20"/>
              </w:rPr>
              <w:t>у Звіті про фінансовий стан</w:t>
            </w:r>
          </w:p>
        </w:tc>
        <w:tc>
          <w:tcPr>
            <w:tcW w:w="1069" w:type="pct"/>
            <w:tcBorders>
              <w:left w:val="nil"/>
              <w:bottom w:val="single" w:sz="4" w:space="0" w:color="auto"/>
              <w:right w:val="nil"/>
            </w:tcBorders>
            <w:shd w:val="clear" w:color="auto" w:fill="FFFFFF"/>
            <w:vAlign w:val="center"/>
          </w:tcPr>
          <w:p w14:paraId="52887A78" w14:textId="5AA3D5C3" w:rsidR="00266D77" w:rsidRPr="00D008D9" w:rsidRDefault="00D008D9" w:rsidP="00A600F3">
            <w:pPr>
              <w:jc w:val="right"/>
              <w:rPr>
                <w:b/>
                <w:color w:val="000000" w:themeColor="text1"/>
                <w:szCs w:val="20"/>
                <w:lang w:val="ru-RU"/>
              </w:rPr>
            </w:pPr>
            <w:r w:rsidRPr="00D008D9">
              <w:rPr>
                <w:b/>
                <w:color w:val="000000" w:themeColor="text1"/>
                <w:szCs w:val="20"/>
              </w:rPr>
              <w:t>31.12.2020</w:t>
            </w:r>
          </w:p>
        </w:tc>
        <w:tc>
          <w:tcPr>
            <w:tcW w:w="1070" w:type="pct"/>
            <w:tcBorders>
              <w:left w:val="nil"/>
              <w:bottom w:val="single" w:sz="4" w:space="0" w:color="auto"/>
              <w:right w:val="nil"/>
            </w:tcBorders>
            <w:shd w:val="clear" w:color="auto" w:fill="FFFFFF"/>
            <w:noWrap/>
            <w:vAlign w:val="center"/>
          </w:tcPr>
          <w:p w14:paraId="58CF2316" w14:textId="619402D0" w:rsidR="00266D77" w:rsidRPr="00D008D9" w:rsidRDefault="00266D77" w:rsidP="00D008D9">
            <w:pPr>
              <w:jc w:val="right"/>
              <w:rPr>
                <w:b/>
                <w:color w:val="000000" w:themeColor="text1"/>
                <w:szCs w:val="20"/>
                <w:lang w:val="ru-RU"/>
              </w:rPr>
            </w:pPr>
            <w:r w:rsidRPr="00D008D9">
              <w:rPr>
                <w:b/>
                <w:color w:val="000000" w:themeColor="text1"/>
                <w:szCs w:val="20"/>
              </w:rPr>
              <w:t>31.12.201</w:t>
            </w:r>
            <w:r w:rsidR="00D008D9" w:rsidRPr="00D008D9">
              <w:rPr>
                <w:b/>
                <w:color w:val="000000" w:themeColor="text1"/>
                <w:szCs w:val="20"/>
                <w:lang w:val="ru-RU"/>
              </w:rPr>
              <w:t>9</w:t>
            </w:r>
          </w:p>
        </w:tc>
      </w:tr>
      <w:tr w:rsidR="00CF078D" w:rsidRPr="00D008D9" w14:paraId="4B5FD231" w14:textId="77777777" w:rsidTr="00C50E7D">
        <w:trPr>
          <w:trHeight w:val="227"/>
        </w:trPr>
        <w:tc>
          <w:tcPr>
            <w:tcW w:w="2861" w:type="pct"/>
            <w:tcBorders>
              <w:top w:val="nil"/>
              <w:left w:val="nil"/>
              <w:bottom w:val="nil"/>
              <w:right w:val="nil"/>
            </w:tcBorders>
            <w:shd w:val="clear" w:color="auto" w:fill="FFFFFF"/>
            <w:vAlign w:val="bottom"/>
          </w:tcPr>
          <w:p w14:paraId="1B74785F" w14:textId="64AD539B" w:rsidR="00CF078D" w:rsidRPr="00D008D9" w:rsidRDefault="00CF078D" w:rsidP="00A600F3">
            <w:pPr>
              <w:pStyle w:val="af7"/>
              <w:spacing w:before="0" w:after="0"/>
              <w:jc w:val="left"/>
              <w:rPr>
                <w:color w:val="000000" w:themeColor="text1"/>
                <w:szCs w:val="20"/>
              </w:rPr>
            </w:pPr>
            <w:r w:rsidRPr="00D008D9">
              <w:rPr>
                <w:color w:val="000000" w:themeColor="text1"/>
                <w:szCs w:val="20"/>
              </w:rPr>
              <w:t>Кредити банків</w:t>
            </w:r>
          </w:p>
        </w:tc>
        <w:tc>
          <w:tcPr>
            <w:tcW w:w="1069" w:type="pct"/>
            <w:tcBorders>
              <w:top w:val="nil"/>
              <w:left w:val="nil"/>
              <w:bottom w:val="nil"/>
              <w:right w:val="nil"/>
            </w:tcBorders>
            <w:shd w:val="clear" w:color="auto" w:fill="FFFFFF"/>
            <w:vAlign w:val="bottom"/>
          </w:tcPr>
          <w:p w14:paraId="5E3A8D02" w14:textId="3616BEA1" w:rsidR="00CF078D" w:rsidRPr="00D008D9" w:rsidRDefault="00CF078D" w:rsidP="00A600F3">
            <w:pPr>
              <w:ind w:firstLineChars="100" w:firstLine="200"/>
              <w:jc w:val="right"/>
              <w:rPr>
                <w:color w:val="000000" w:themeColor="text1"/>
                <w:szCs w:val="20"/>
              </w:rPr>
            </w:pPr>
            <w:r w:rsidRPr="00D008D9">
              <w:rPr>
                <w:color w:val="000000" w:themeColor="text1"/>
                <w:szCs w:val="20"/>
              </w:rPr>
              <w:t xml:space="preserve">532 692 </w:t>
            </w:r>
          </w:p>
        </w:tc>
        <w:tc>
          <w:tcPr>
            <w:tcW w:w="1070" w:type="pct"/>
            <w:tcBorders>
              <w:top w:val="nil"/>
              <w:left w:val="nil"/>
              <w:bottom w:val="nil"/>
              <w:right w:val="nil"/>
            </w:tcBorders>
            <w:shd w:val="clear" w:color="auto" w:fill="FFFFFF"/>
            <w:vAlign w:val="bottom"/>
          </w:tcPr>
          <w:p w14:paraId="07405DEC" w14:textId="76DCBE2B" w:rsidR="00CF078D" w:rsidRPr="00D008D9" w:rsidRDefault="00CF078D" w:rsidP="00A600F3">
            <w:pPr>
              <w:jc w:val="right"/>
              <w:rPr>
                <w:color w:val="000000" w:themeColor="text1"/>
                <w:szCs w:val="20"/>
              </w:rPr>
            </w:pPr>
            <w:r w:rsidRPr="00D008D9">
              <w:rPr>
                <w:color w:val="000000" w:themeColor="text1"/>
                <w:szCs w:val="20"/>
              </w:rPr>
              <w:t xml:space="preserve">532 692 </w:t>
            </w:r>
          </w:p>
        </w:tc>
      </w:tr>
      <w:tr w:rsidR="00CF078D" w:rsidRPr="00D008D9" w14:paraId="66E72A4D" w14:textId="77777777" w:rsidTr="00C50E7D">
        <w:trPr>
          <w:trHeight w:val="227"/>
        </w:trPr>
        <w:tc>
          <w:tcPr>
            <w:tcW w:w="2861" w:type="pct"/>
            <w:tcBorders>
              <w:top w:val="single" w:sz="4" w:space="0" w:color="auto"/>
              <w:left w:val="nil"/>
              <w:right w:val="nil"/>
            </w:tcBorders>
            <w:shd w:val="clear" w:color="auto" w:fill="FFFFFF"/>
            <w:vAlign w:val="bottom"/>
          </w:tcPr>
          <w:p w14:paraId="360F8921" w14:textId="77777777" w:rsidR="00CF078D" w:rsidRPr="00D008D9" w:rsidRDefault="00CF078D" w:rsidP="00A600F3">
            <w:pPr>
              <w:jc w:val="left"/>
              <w:rPr>
                <w:b/>
                <w:bCs/>
                <w:color w:val="000000" w:themeColor="text1"/>
                <w:szCs w:val="20"/>
              </w:rPr>
            </w:pPr>
            <w:r w:rsidRPr="00D008D9">
              <w:rPr>
                <w:b/>
                <w:bCs/>
                <w:color w:val="000000" w:themeColor="text1"/>
                <w:szCs w:val="20"/>
              </w:rPr>
              <w:t>Разом:</w:t>
            </w:r>
          </w:p>
        </w:tc>
        <w:tc>
          <w:tcPr>
            <w:tcW w:w="1069" w:type="pct"/>
            <w:tcBorders>
              <w:top w:val="single" w:sz="4" w:space="0" w:color="auto"/>
              <w:left w:val="nil"/>
              <w:right w:val="nil"/>
            </w:tcBorders>
            <w:shd w:val="clear" w:color="auto" w:fill="FFFFFF"/>
            <w:vAlign w:val="bottom"/>
          </w:tcPr>
          <w:p w14:paraId="0D0C7CFA" w14:textId="77C0621E" w:rsidR="00CF078D" w:rsidRPr="00D008D9" w:rsidRDefault="00CF078D" w:rsidP="00A600F3">
            <w:pPr>
              <w:ind w:firstLineChars="100" w:firstLine="200"/>
              <w:jc w:val="right"/>
              <w:rPr>
                <w:b/>
                <w:color w:val="000000" w:themeColor="text1"/>
                <w:szCs w:val="20"/>
              </w:rPr>
            </w:pPr>
            <w:r w:rsidRPr="00D008D9">
              <w:rPr>
                <w:b/>
                <w:bCs/>
                <w:color w:val="000000" w:themeColor="text1"/>
                <w:szCs w:val="20"/>
              </w:rPr>
              <w:t xml:space="preserve">532 692 </w:t>
            </w:r>
          </w:p>
        </w:tc>
        <w:tc>
          <w:tcPr>
            <w:tcW w:w="1070" w:type="pct"/>
            <w:tcBorders>
              <w:top w:val="single" w:sz="4" w:space="0" w:color="auto"/>
              <w:left w:val="nil"/>
              <w:right w:val="nil"/>
            </w:tcBorders>
            <w:shd w:val="clear" w:color="auto" w:fill="FFFFFF"/>
            <w:vAlign w:val="bottom"/>
          </w:tcPr>
          <w:p w14:paraId="332328F6" w14:textId="35790E85" w:rsidR="00CF078D" w:rsidRPr="00D008D9" w:rsidRDefault="00CF078D" w:rsidP="00A600F3">
            <w:pPr>
              <w:jc w:val="right"/>
              <w:rPr>
                <w:b/>
                <w:color w:val="000000" w:themeColor="text1"/>
                <w:szCs w:val="20"/>
              </w:rPr>
            </w:pPr>
            <w:r w:rsidRPr="00D008D9">
              <w:rPr>
                <w:b/>
                <w:bCs/>
                <w:color w:val="000000" w:themeColor="text1"/>
                <w:szCs w:val="20"/>
              </w:rPr>
              <w:t xml:space="preserve">532 692 </w:t>
            </w:r>
          </w:p>
        </w:tc>
      </w:tr>
    </w:tbl>
    <w:p w14:paraId="5DDCE6FE" w14:textId="4D59BBA1" w:rsidR="00266D77" w:rsidRPr="00D008D9" w:rsidRDefault="00266D77" w:rsidP="00A600F3">
      <w:pPr>
        <w:spacing w:before="120" w:after="120"/>
        <w:rPr>
          <w:color w:val="000000" w:themeColor="text1"/>
          <w:szCs w:val="20"/>
        </w:rPr>
      </w:pPr>
    </w:p>
    <w:tbl>
      <w:tblPr>
        <w:tblW w:w="5000" w:type="pct"/>
        <w:tblLook w:val="00A0" w:firstRow="1" w:lastRow="0" w:firstColumn="1" w:lastColumn="0" w:noHBand="0" w:noVBand="0"/>
      </w:tblPr>
      <w:tblGrid>
        <w:gridCol w:w="5515"/>
        <w:gridCol w:w="2060"/>
        <w:gridCol w:w="2062"/>
      </w:tblGrid>
      <w:tr w:rsidR="00D008D9" w:rsidRPr="00D008D9" w14:paraId="0AAED968" w14:textId="77777777" w:rsidTr="006725A7">
        <w:trPr>
          <w:trHeight w:val="510"/>
          <w:tblHeader/>
        </w:trPr>
        <w:tc>
          <w:tcPr>
            <w:tcW w:w="2861" w:type="pct"/>
            <w:tcBorders>
              <w:left w:val="nil"/>
              <w:bottom w:val="single" w:sz="4" w:space="0" w:color="auto"/>
              <w:right w:val="nil"/>
            </w:tcBorders>
            <w:shd w:val="clear" w:color="auto" w:fill="FFFFFF"/>
            <w:vAlign w:val="center"/>
          </w:tcPr>
          <w:p w14:paraId="7E96770F" w14:textId="394A2423" w:rsidR="00D008D9" w:rsidRPr="00D008D9" w:rsidRDefault="00D008D9" w:rsidP="00D008D9">
            <w:pPr>
              <w:jc w:val="left"/>
              <w:rPr>
                <w:b/>
                <w:bCs/>
                <w:color w:val="000000" w:themeColor="text1"/>
                <w:szCs w:val="20"/>
              </w:rPr>
            </w:pPr>
            <w:r w:rsidRPr="00D008D9">
              <w:rPr>
                <w:b/>
                <w:bCs/>
                <w:color w:val="000000" w:themeColor="text1"/>
                <w:szCs w:val="20"/>
              </w:rPr>
              <w:t>18.2 Кредити та позики отримані по валютах</w:t>
            </w:r>
          </w:p>
        </w:tc>
        <w:tc>
          <w:tcPr>
            <w:tcW w:w="1069" w:type="pct"/>
            <w:tcBorders>
              <w:left w:val="nil"/>
              <w:bottom w:val="single" w:sz="4" w:space="0" w:color="auto"/>
              <w:right w:val="nil"/>
            </w:tcBorders>
            <w:shd w:val="clear" w:color="auto" w:fill="FFFFFF"/>
            <w:vAlign w:val="center"/>
          </w:tcPr>
          <w:p w14:paraId="6D628404" w14:textId="383348A3" w:rsidR="00D008D9" w:rsidRPr="00D008D9" w:rsidRDefault="00D008D9" w:rsidP="00D008D9">
            <w:pPr>
              <w:jc w:val="right"/>
              <w:rPr>
                <w:b/>
                <w:color w:val="000000" w:themeColor="text1"/>
                <w:lang w:val="ru-RU"/>
              </w:rPr>
            </w:pPr>
            <w:r w:rsidRPr="00D008D9">
              <w:rPr>
                <w:b/>
                <w:color w:val="000000" w:themeColor="text1"/>
                <w:szCs w:val="20"/>
              </w:rPr>
              <w:t>31.12.2020</w:t>
            </w:r>
          </w:p>
        </w:tc>
        <w:tc>
          <w:tcPr>
            <w:tcW w:w="1070" w:type="pct"/>
            <w:tcBorders>
              <w:left w:val="nil"/>
              <w:bottom w:val="single" w:sz="4" w:space="0" w:color="auto"/>
              <w:right w:val="nil"/>
            </w:tcBorders>
            <w:shd w:val="clear" w:color="auto" w:fill="FFFFFF"/>
            <w:vAlign w:val="center"/>
          </w:tcPr>
          <w:p w14:paraId="776F7A2C" w14:textId="34168331" w:rsidR="00D008D9" w:rsidRPr="00D008D9" w:rsidRDefault="00D008D9" w:rsidP="00D008D9">
            <w:pPr>
              <w:jc w:val="right"/>
              <w:rPr>
                <w:b/>
                <w:color w:val="000000" w:themeColor="text1"/>
                <w:lang w:val="ru-RU"/>
              </w:rPr>
            </w:pPr>
            <w:r w:rsidRPr="00D008D9">
              <w:rPr>
                <w:b/>
                <w:color w:val="000000" w:themeColor="text1"/>
                <w:szCs w:val="20"/>
              </w:rPr>
              <w:t>31.12.201</w:t>
            </w:r>
            <w:r w:rsidRPr="00D008D9">
              <w:rPr>
                <w:b/>
                <w:color w:val="000000" w:themeColor="text1"/>
                <w:szCs w:val="20"/>
                <w:lang w:val="ru-RU"/>
              </w:rPr>
              <w:t>9</w:t>
            </w:r>
          </w:p>
        </w:tc>
      </w:tr>
      <w:tr w:rsidR="00CF078D" w:rsidRPr="00D008D9" w14:paraId="4DF06D2D" w14:textId="77777777" w:rsidTr="00C50E7D">
        <w:trPr>
          <w:trHeight w:val="255"/>
        </w:trPr>
        <w:tc>
          <w:tcPr>
            <w:tcW w:w="2861" w:type="pct"/>
            <w:tcBorders>
              <w:top w:val="nil"/>
              <w:left w:val="nil"/>
              <w:bottom w:val="nil"/>
              <w:right w:val="nil"/>
            </w:tcBorders>
            <w:shd w:val="clear" w:color="auto" w:fill="FFFFFF"/>
            <w:noWrap/>
            <w:vAlign w:val="bottom"/>
          </w:tcPr>
          <w:p w14:paraId="70D72227" w14:textId="77777777" w:rsidR="00CF078D" w:rsidRPr="00D008D9" w:rsidRDefault="00CF078D" w:rsidP="00A600F3">
            <w:pPr>
              <w:pStyle w:val="af7"/>
              <w:spacing w:before="0" w:after="0"/>
              <w:jc w:val="left"/>
              <w:rPr>
                <w:color w:val="000000" w:themeColor="text1"/>
                <w:szCs w:val="20"/>
              </w:rPr>
            </w:pPr>
            <w:r w:rsidRPr="00D008D9">
              <w:rPr>
                <w:color w:val="000000" w:themeColor="text1"/>
              </w:rPr>
              <w:t>Кредити в національній валюті</w:t>
            </w:r>
          </w:p>
        </w:tc>
        <w:tc>
          <w:tcPr>
            <w:tcW w:w="1069" w:type="pct"/>
            <w:tcBorders>
              <w:top w:val="nil"/>
              <w:left w:val="nil"/>
              <w:bottom w:val="nil"/>
              <w:right w:val="nil"/>
            </w:tcBorders>
            <w:shd w:val="clear" w:color="auto" w:fill="FFFFFF"/>
            <w:vAlign w:val="bottom"/>
          </w:tcPr>
          <w:p w14:paraId="084614ED" w14:textId="06CDEBC2" w:rsidR="00CF078D" w:rsidRPr="00D008D9" w:rsidRDefault="00CF078D" w:rsidP="00A600F3">
            <w:pPr>
              <w:jc w:val="right"/>
              <w:rPr>
                <w:color w:val="000000" w:themeColor="text1"/>
                <w:szCs w:val="20"/>
              </w:rPr>
            </w:pPr>
            <w:r w:rsidRPr="00D008D9">
              <w:rPr>
                <w:color w:val="000000" w:themeColor="text1"/>
                <w:szCs w:val="20"/>
              </w:rPr>
              <w:t xml:space="preserve">532 692 </w:t>
            </w:r>
          </w:p>
        </w:tc>
        <w:tc>
          <w:tcPr>
            <w:tcW w:w="1070" w:type="pct"/>
            <w:tcBorders>
              <w:top w:val="nil"/>
              <w:left w:val="nil"/>
              <w:bottom w:val="nil"/>
              <w:right w:val="nil"/>
            </w:tcBorders>
            <w:shd w:val="clear" w:color="auto" w:fill="FFFFFF"/>
            <w:vAlign w:val="bottom"/>
          </w:tcPr>
          <w:p w14:paraId="039D8B2A" w14:textId="5F135E75" w:rsidR="00CF078D" w:rsidRPr="00D008D9" w:rsidRDefault="00CF078D" w:rsidP="00A600F3">
            <w:pPr>
              <w:jc w:val="right"/>
              <w:rPr>
                <w:color w:val="000000" w:themeColor="text1"/>
                <w:szCs w:val="20"/>
              </w:rPr>
            </w:pPr>
            <w:r w:rsidRPr="00D008D9">
              <w:rPr>
                <w:color w:val="000000" w:themeColor="text1"/>
                <w:szCs w:val="20"/>
              </w:rPr>
              <w:t xml:space="preserve">532 692 </w:t>
            </w:r>
          </w:p>
        </w:tc>
      </w:tr>
      <w:tr w:rsidR="00CF078D" w:rsidRPr="00D008D9" w14:paraId="00E7ACA3" w14:textId="77777777" w:rsidTr="00C50E7D">
        <w:trPr>
          <w:trHeight w:val="255"/>
        </w:trPr>
        <w:tc>
          <w:tcPr>
            <w:tcW w:w="2861" w:type="pct"/>
            <w:tcBorders>
              <w:top w:val="single" w:sz="4" w:space="0" w:color="auto"/>
              <w:left w:val="nil"/>
              <w:bottom w:val="nil"/>
              <w:right w:val="nil"/>
            </w:tcBorders>
            <w:shd w:val="clear" w:color="auto" w:fill="FFFFFF"/>
            <w:noWrap/>
            <w:vAlign w:val="bottom"/>
          </w:tcPr>
          <w:p w14:paraId="1B99238D" w14:textId="77777777" w:rsidR="00CF078D" w:rsidRPr="00D008D9" w:rsidRDefault="00CF078D" w:rsidP="00CF078D">
            <w:pPr>
              <w:jc w:val="left"/>
              <w:rPr>
                <w:b/>
                <w:bCs/>
                <w:color w:val="000000" w:themeColor="text1"/>
                <w:szCs w:val="20"/>
              </w:rPr>
            </w:pPr>
            <w:r w:rsidRPr="00D008D9">
              <w:rPr>
                <w:b/>
                <w:bCs/>
                <w:color w:val="000000" w:themeColor="text1"/>
                <w:szCs w:val="20"/>
              </w:rPr>
              <w:t>Разом:</w:t>
            </w:r>
          </w:p>
        </w:tc>
        <w:tc>
          <w:tcPr>
            <w:tcW w:w="1069" w:type="pct"/>
            <w:tcBorders>
              <w:top w:val="single" w:sz="4" w:space="0" w:color="auto"/>
              <w:left w:val="nil"/>
              <w:bottom w:val="nil"/>
              <w:right w:val="nil"/>
            </w:tcBorders>
            <w:shd w:val="clear" w:color="auto" w:fill="FFFFFF"/>
            <w:vAlign w:val="bottom"/>
          </w:tcPr>
          <w:p w14:paraId="5CF5A7A5" w14:textId="2C22CDCA" w:rsidR="00CF078D" w:rsidRPr="00D008D9" w:rsidRDefault="00CF078D" w:rsidP="00CF078D">
            <w:pPr>
              <w:jc w:val="right"/>
              <w:rPr>
                <w:b/>
                <w:bCs/>
                <w:color w:val="000000" w:themeColor="text1"/>
                <w:szCs w:val="20"/>
              </w:rPr>
            </w:pPr>
            <w:r w:rsidRPr="00D008D9">
              <w:rPr>
                <w:b/>
                <w:bCs/>
                <w:color w:val="000000" w:themeColor="text1"/>
                <w:szCs w:val="20"/>
              </w:rPr>
              <w:t xml:space="preserve">532 692 </w:t>
            </w:r>
          </w:p>
        </w:tc>
        <w:tc>
          <w:tcPr>
            <w:tcW w:w="1070" w:type="pct"/>
            <w:tcBorders>
              <w:top w:val="single" w:sz="4" w:space="0" w:color="auto"/>
              <w:left w:val="nil"/>
              <w:bottom w:val="nil"/>
              <w:right w:val="nil"/>
            </w:tcBorders>
            <w:shd w:val="clear" w:color="auto" w:fill="FFFFFF"/>
            <w:vAlign w:val="bottom"/>
          </w:tcPr>
          <w:p w14:paraId="572D5376" w14:textId="2BEBB58B" w:rsidR="00CF078D" w:rsidRPr="00D008D9" w:rsidRDefault="00CF078D" w:rsidP="00CF078D">
            <w:pPr>
              <w:jc w:val="right"/>
              <w:rPr>
                <w:b/>
                <w:bCs/>
                <w:color w:val="000000" w:themeColor="text1"/>
                <w:szCs w:val="20"/>
              </w:rPr>
            </w:pPr>
            <w:r w:rsidRPr="00D008D9">
              <w:rPr>
                <w:b/>
                <w:bCs/>
                <w:color w:val="000000" w:themeColor="text1"/>
                <w:szCs w:val="20"/>
              </w:rPr>
              <w:t xml:space="preserve">532 692 </w:t>
            </w:r>
          </w:p>
        </w:tc>
      </w:tr>
    </w:tbl>
    <w:p w14:paraId="103A2D79" w14:textId="77777777" w:rsidR="00266D77" w:rsidRPr="00D008D9" w:rsidRDefault="00266D77" w:rsidP="002A5110">
      <w:pPr>
        <w:spacing w:before="120" w:after="120"/>
        <w:rPr>
          <w:color w:val="000000" w:themeColor="text1"/>
        </w:rPr>
      </w:pPr>
    </w:p>
    <w:tbl>
      <w:tblPr>
        <w:tblW w:w="5000" w:type="pct"/>
        <w:tblLook w:val="00A0" w:firstRow="1" w:lastRow="0" w:firstColumn="1" w:lastColumn="0" w:noHBand="0" w:noVBand="0"/>
      </w:tblPr>
      <w:tblGrid>
        <w:gridCol w:w="5515"/>
        <w:gridCol w:w="2060"/>
        <w:gridCol w:w="2062"/>
      </w:tblGrid>
      <w:tr w:rsidR="00D008D9" w:rsidRPr="00D008D9" w14:paraId="4888699D" w14:textId="77777777" w:rsidTr="006725A7">
        <w:trPr>
          <w:trHeight w:val="510"/>
          <w:tblHeader/>
        </w:trPr>
        <w:tc>
          <w:tcPr>
            <w:tcW w:w="2861" w:type="pct"/>
            <w:tcBorders>
              <w:left w:val="nil"/>
              <w:bottom w:val="single" w:sz="4" w:space="0" w:color="auto"/>
              <w:right w:val="nil"/>
            </w:tcBorders>
            <w:shd w:val="clear" w:color="auto" w:fill="FFFFFF"/>
            <w:vAlign w:val="center"/>
          </w:tcPr>
          <w:p w14:paraId="22EF454A" w14:textId="7815D39C" w:rsidR="00D008D9" w:rsidRPr="00D008D9" w:rsidRDefault="00D008D9" w:rsidP="00D008D9">
            <w:pPr>
              <w:jc w:val="left"/>
              <w:rPr>
                <w:b/>
                <w:bCs/>
                <w:color w:val="000000" w:themeColor="text1"/>
                <w:szCs w:val="20"/>
              </w:rPr>
            </w:pPr>
            <w:r w:rsidRPr="00D008D9">
              <w:rPr>
                <w:b/>
                <w:bCs/>
                <w:color w:val="000000" w:themeColor="text1"/>
                <w:szCs w:val="20"/>
              </w:rPr>
              <w:t>18.3 Кредити та позики отримані по строках</w:t>
            </w:r>
          </w:p>
        </w:tc>
        <w:tc>
          <w:tcPr>
            <w:tcW w:w="1069" w:type="pct"/>
            <w:tcBorders>
              <w:left w:val="nil"/>
              <w:bottom w:val="single" w:sz="4" w:space="0" w:color="auto"/>
              <w:right w:val="nil"/>
            </w:tcBorders>
            <w:shd w:val="clear" w:color="auto" w:fill="FFFFFF"/>
            <w:vAlign w:val="center"/>
          </w:tcPr>
          <w:p w14:paraId="5041E28D" w14:textId="5813F3B8" w:rsidR="00D008D9" w:rsidRPr="00D008D9" w:rsidRDefault="00D008D9" w:rsidP="00D008D9">
            <w:pPr>
              <w:jc w:val="right"/>
              <w:rPr>
                <w:b/>
                <w:color w:val="000000" w:themeColor="text1"/>
                <w:lang w:val="ru-RU"/>
              </w:rPr>
            </w:pPr>
            <w:r w:rsidRPr="00D008D9">
              <w:rPr>
                <w:b/>
                <w:color w:val="000000" w:themeColor="text1"/>
                <w:szCs w:val="20"/>
              </w:rPr>
              <w:t>31.12.2020</w:t>
            </w:r>
          </w:p>
        </w:tc>
        <w:tc>
          <w:tcPr>
            <w:tcW w:w="1070" w:type="pct"/>
            <w:tcBorders>
              <w:left w:val="nil"/>
              <w:bottom w:val="single" w:sz="4" w:space="0" w:color="auto"/>
              <w:right w:val="nil"/>
            </w:tcBorders>
            <w:shd w:val="clear" w:color="auto" w:fill="FFFFFF"/>
            <w:vAlign w:val="center"/>
          </w:tcPr>
          <w:p w14:paraId="0A9D1DAF" w14:textId="2B1C8DA6" w:rsidR="00D008D9" w:rsidRPr="00D008D9" w:rsidRDefault="00D008D9" w:rsidP="00D008D9">
            <w:pPr>
              <w:jc w:val="right"/>
              <w:rPr>
                <w:b/>
                <w:color w:val="000000" w:themeColor="text1"/>
                <w:lang w:val="ru-RU"/>
              </w:rPr>
            </w:pPr>
            <w:r w:rsidRPr="00D008D9">
              <w:rPr>
                <w:b/>
                <w:color w:val="000000" w:themeColor="text1"/>
                <w:szCs w:val="20"/>
              </w:rPr>
              <w:t>31.12.201</w:t>
            </w:r>
            <w:r w:rsidRPr="00D008D9">
              <w:rPr>
                <w:b/>
                <w:color w:val="000000" w:themeColor="text1"/>
                <w:szCs w:val="20"/>
                <w:lang w:val="ru-RU"/>
              </w:rPr>
              <w:t>9</w:t>
            </w:r>
          </w:p>
        </w:tc>
      </w:tr>
      <w:tr w:rsidR="00CF078D" w:rsidRPr="00D008D9" w14:paraId="7310430E" w14:textId="77777777" w:rsidTr="00CF078D">
        <w:trPr>
          <w:trHeight w:val="255"/>
        </w:trPr>
        <w:tc>
          <w:tcPr>
            <w:tcW w:w="2861" w:type="pct"/>
            <w:tcBorders>
              <w:top w:val="nil"/>
              <w:left w:val="nil"/>
              <w:bottom w:val="nil"/>
              <w:right w:val="nil"/>
            </w:tcBorders>
            <w:shd w:val="clear" w:color="auto" w:fill="FFFFFF"/>
            <w:noWrap/>
            <w:vAlign w:val="center"/>
          </w:tcPr>
          <w:p w14:paraId="344877DD" w14:textId="7034FEE5" w:rsidR="00CF078D" w:rsidRPr="00D008D9" w:rsidRDefault="00CF078D" w:rsidP="00CF078D">
            <w:pPr>
              <w:pStyle w:val="af7"/>
              <w:spacing w:before="0" w:after="0"/>
              <w:jc w:val="left"/>
              <w:rPr>
                <w:color w:val="000000" w:themeColor="text1"/>
              </w:rPr>
            </w:pPr>
            <w:r w:rsidRPr="00D008D9">
              <w:rPr>
                <w:color w:val="000000" w:themeColor="text1"/>
              </w:rPr>
              <w:t>Короткострокові кредити</w:t>
            </w:r>
          </w:p>
        </w:tc>
        <w:tc>
          <w:tcPr>
            <w:tcW w:w="1069" w:type="pct"/>
            <w:tcBorders>
              <w:top w:val="nil"/>
              <w:left w:val="nil"/>
              <w:bottom w:val="nil"/>
              <w:right w:val="nil"/>
            </w:tcBorders>
            <w:shd w:val="clear" w:color="auto" w:fill="FFFFFF"/>
            <w:vAlign w:val="center"/>
          </w:tcPr>
          <w:p w14:paraId="5B2B2C3B" w14:textId="0B09CFDD" w:rsidR="00CF078D" w:rsidRPr="00D008D9" w:rsidRDefault="00CF078D" w:rsidP="00CF078D">
            <w:pPr>
              <w:jc w:val="right"/>
              <w:rPr>
                <w:color w:val="000000" w:themeColor="text1"/>
                <w:szCs w:val="20"/>
              </w:rPr>
            </w:pPr>
            <w:r w:rsidRPr="00D008D9">
              <w:rPr>
                <w:color w:val="000000" w:themeColor="text1"/>
                <w:szCs w:val="20"/>
              </w:rPr>
              <w:t xml:space="preserve">532 692 </w:t>
            </w:r>
          </w:p>
        </w:tc>
        <w:tc>
          <w:tcPr>
            <w:tcW w:w="1070" w:type="pct"/>
            <w:tcBorders>
              <w:top w:val="nil"/>
              <w:left w:val="nil"/>
              <w:bottom w:val="nil"/>
              <w:right w:val="nil"/>
            </w:tcBorders>
            <w:shd w:val="clear" w:color="auto" w:fill="FFFFFF"/>
            <w:vAlign w:val="center"/>
          </w:tcPr>
          <w:p w14:paraId="224CB032" w14:textId="20028E08" w:rsidR="00CF078D" w:rsidRPr="00D008D9" w:rsidRDefault="00CF078D" w:rsidP="00CF078D">
            <w:pPr>
              <w:jc w:val="right"/>
              <w:rPr>
                <w:color w:val="000000" w:themeColor="text1"/>
                <w:szCs w:val="20"/>
                <w:lang w:val="ru-RU"/>
              </w:rPr>
            </w:pPr>
            <w:r w:rsidRPr="00D008D9">
              <w:rPr>
                <w:color w:val="000000" w:themeColor="text1"/>
                <w:szCs w:val="20"/>
              </w:rPr>
              <w:t xml:space="preserve">532 692 </w:t>
            </w:r>
          </w:p>
        </w:tc>
      </w:tr>
      <w:tr w:rsidR="00CF078D" w:rsidRPr="008756CD" w14:paraId="00BFF82B" w14:textId="77777777" w:rsidTr="00CF078D">
        <w:trPr>
          <w:trHeight w:val="255"/>
        </w:trPr>
        <w:tc>
          <w:tcPr>
            <w:tcW w:w="2861" w:type="pct"/>
            <w:tcBorders>
              <w:top w:val="single" w:sz="4" w:space="0" w:color="auto"/>
              <w:left w:val="nil"/>
              <w:bottom w:val="nil"/>
              <w:right w:val="nil"/>
            </w:tcBorders>
            <w:shd w:val="clear" w:color="auto" w:fill="FFFFFF"/>
            <w:noWrap/>
            <w:vAlign w:val="center"/>
          </w:tcPr>
          <w:p w14:paraId="51E96892" w14:textId="77777777" w:rsidR="00CF078D" w:rsidRPr="00D008D9" w:rsidRDefault="00CF078D" w:rsidP="00CF078D">
            <w:pPr>
              <w:jc w:val="left"/>
              <w:rPr>
                <w:b/>
                <w:bCs/>
                <w:color w:val="000000" w:themeColor="text1"/>
                <w:szCs w:val="20"/>
              </w:rPr>
            </w:pPr>
            <w:r w:rsidRPr="00D008D9">
              <w:rPr>
                <w:b/>
                <w:bCs/>
                <w:color w:val="000000" w:themeColor="text1"/>
                <w:szCs w:val="20"/>
              </w:rPr>
              <w:t>Разом:</w:t>
            </w:r>
          </w:p>
        </w:tc>
        <w:tc>
          <w:tcPr>
            <w:tcW w:w="1069" w:type="pct"/>
            <w:tcBorders>
              <w:top w:val="single" w:sz="4" w:space="0" w:color="auto"/>
              <w:left w:val="nil"/>
              <w:bottom w:val="nil"/>
              <w:right w:val="nil"/>
            </w:tcBorders>
            <w:shd w:val="clear" w:color="auto" w:fill="FFFFFF"/>
            <w:vAlign w:val="center"/>
          </w:tcPr>
          <w:p w14:paraId="025D85E1" w14:textId="42AE1985" w:rsidR="00CF078D" w:rsidRPr="00D008D9" w:rsidRDefault="00CF078D" w:rsidP="00CF078D">
            <w:pPr>
              <w:jc w:val="right"/>
              <w:rPr>
                <w:b/>
                <w:bCs/>
                <w:color w:val="000000" w:themeColor="text1"/>
                <w:szCs w:val="20"/>
              </w:rPr>
            </w:pPr>
            <w:r w:rsidRPr="00D008D9">
              <w:rPr>
                <w:b/>
                <w:bCs/>
                <w:color w:val="000000" w:themeColor="text1"/>
                <w:szCs w:val="20"/>
              </w:rPr>
              <w:t xml:space="preserve">532 692 </w:t>
            </w:r>
          </w:p>
        </w:tc>
        <w:tc>
          <w:tcPr>
            <w:tcW w:w="1070" w:type="pct"/>
            <w:tcBorders>
              <w:top w:val="single" w:sz="4" w:space="0" w:color="auto"/>
              <w:left w:val="nil"/>
              <w:bottom w:val="nil"/>
              <w:right w:val="nil"/>
            </w:tcBorders>
            <w:shd w:val="clear" w:color="auto" w:fill="FFFFFF"/>
            <w:vAlign w:val="center"/>
          </w:tcPr>
          <w:p w14:paraId="58E5BE3C" w14:textId="5EC66E35" w:rsidR="00CF078D" w:rsidRPr="00D008D9" w:rsidRDefault="00CF078D" w:rsidP="00CF078D">
            <w:pPr>
              <w:jc w:val="right"/>
              <w:rPr>
                <w:b/>
                <w:bCs/>
                <w:color w:val="000000" w:themeColor="text1"/>
                <w:szCs w:val="20"/>
              </w:rPr>
            </w:pPr>
            <w:r w:rsidRPr="00D008D9">
              <w:rPr>
                <w:b/>
                <w:bCs/>
                <w:color w:val="000000" w:themeColor="text1"/>
                <w:szCs w:val="20"/>
              </w:rPr>
              <w:t xml:space="preserve">532 692 </w:t>
            </w:r>
          </w:p>
        </w:tc>
      </w:tr>
    </w:tbl>
    <w:p w14:paraId="34A8C63C" w14:textId="0B3C63C0" w:rsidR="0031483C" w:rsidRPr="008756CD" w:rsidRDefault="0031483C" w:rsidP="004A7ED7">
      <w:pPr>
        <w:pStyle w:val="af7"/>
        <w:spacing w:before="0" w:after="0"/>
        <w:rPr>
          <w:color w:val="000000" w:themeColor="text1"/>
          <w:szCs w:val="20"/>
          <w:highlight w:val="yellow"/>
        </w:rPr>
      </w:pPr>
    </w:p>
    <w:tbl>
      <w:tblPr>
        <w:tblW w:w="5000" w:type="pct"/>
        <w:tblLook w:val="00A0" w:firstRow="1" w:lastRow="0" w:firstColumn="1" w:lastColumn="0" w:noHBand="0" w:noVBand="0"/>
      </w:tblPr>
      <w:tblGrid>
        <w:gridCol w:w="5515"/>
        <w:gridCol w:w="2060"/>
        <w:gridCol w:w="2062"/>
      </w:tblGrid>
      <w:tr w:rsidR="00D008D9" w:rsidRPr="00677D01" w14:paraId="57118E29" w14:textId="77777777" w:rsidTr="00C50E7D">
        <w:trPr>
          <w:trHeight w:val="510"/>
          <w:tblHeader/>
        </w:trPr>
        <w:tc>
          <w:tcPr>
            <w:tcW w:w="2861" w:type="pct"/>
            <w:tcBorders>
              <w:left w:val="nil"/>
              <w:bottom w:val="single" w:sz="4" w:space="0" w:color="auto"/>
              <w:right w:val="nil"/>
            </w:tcBorders>
            <w:shd w:val="clear" w:color="auto" w:fill="FFFFFF"/>
            <w:vAlign w:val="center"/>
          </w:tcPr>
          <w:p w14:paraId="12212B65" w14:textId="434EE21C" w:rsidR="00D008D9" w:rsidRPr="00677D01" w:rsidRDefault="00D008D9" w:rsidP="00D008D9">
            <w:pPr>
              <w:jc w:val="left"/>
              <w:rPr>
                <w:b/>
                <w:bCs/>
                <w:color w:val="000000" w:themeColor="text1"/>
                <w:szCs w:val="20"/>
              </w:rPr>
            </w:pPr>
            <w:r w:rsidRPr="00677D01">
              <w:rPr>
                <w:b/>
                <w:bCs/>
                <w:color w:val="000000" w:themeColor="text1"/>
                <w:szCs w:val="20"/>
              </w:rPr>
              <w:t>18.4 Витрати за кредитами та позиками</w:t>
            </w:r>
          </w:p>
        </w:tc>
        <w:tc>
          <w:tcPr>
            <w:tcW w:w="1069" w:type="pct"/>
            <w:tcBorders>
              <w:left w:val="nil"/>
              <w:bottom w:val="single" w:sz="4" w:space="0" w:color="auto"/>
              <w:right w:val="nil"/>
            </w:tcBorders>
            <w:shd w:val="clear" w:color="auto" w:fill="FFFFFF"/>
            <w:vAlign w:val="center"/>
          </w:tcPr>
          <w:p w14:paraId="1D8A6A88" w14:textId="5E775A67" w:rsidR="00D008D9" w:rsidRPr="00677D01" w:rsidRDefault="00D008D9" w:rsidP="00D008D9">
            <w:pPr>
              <w:jc w:val="right"/>
              <w:rPr>
                <w:b/>
                <w:color w:val="000000" w:themeColor="text1"/>
                <w:szCs w:val="20"/>
                <w:lang w:val="ru-RU"/>
              </w:rPr>
            </w:pPr>
            <w:r w:rsidRPr="00677D01">
              <w:rPr>
                <w:b/>
                <w:color w:val="000000" w:themeColor="text1"/>
                <w:szCs w:val="20"/>
              </w:rPr>
              <w:t>31.12.2020</w:t>
            </w:r>
          </w:p>
        </w:tc>
        <w:tc>
          <w:tcPr>
            <w:tcW w:w="1070" w:type="pct"/>
            <w:tcBorders>
              <w:left w:val="nil"/>
              <w:bottom w:val="single" w:sz="4" w:space="0" w:color="auto"/>
              <w:right w:val="nil"/>
            </w:tcBorders>
            <w:shd w:val="clear" w:color="auto" w:fill="FFFFFF"/>
            <w:vAlign w:val="center"/>
          </w:tcPr>
          <w:p w14:paraId="622596A8" w14:textId="181B507A" w:rsidR="00D008D9" w:rsidRPr="00677D01" w:rsidRDefault="00D008D9" w:rsidP="00D008D9">
            <w:pPr>
              <w:jc w:val="right"/>
              <w:rPr>
                <w:b/>
                <w:color w:val="000000" w:themeColor="text1"/>
                <w:szCs w:val="20"/>
                <w:lang w:val="ru-RU"/>
              </w:rPr>
            </w:pPr>
            <w:r w:rsidRPr="00677D01">
              <w:rPr>
                <w:b/>
                <w:color w:val="000000" w:themeColor="text1"/>
                <w:szCs w:val="20"/>
              </w:rPr>
              <w:t>31.12.201</w:t>
            </w:r>
            <w:r w:rsidRPr="00677D01">
              <w:rPr>
                <w:b/>
                <w:color w:val="000000" w:themeColor="text1"/>
                <w:szCs w:val="20"/>
                <w:lang w:val="ru-RU"/>
              </w:rPr>
              <w:t>9</w:t>
            </w:r>
          </w:p>
        </w:tc>
      </w:tr>
      <w:tr w:rsidR="00D008D9" w:rsidRPr="00677D01" w14:paraId="6B5FD382" w14:textId="77777777" w:rsidTr="00CF078D">
        <w:trPr>
          <w:trHeight w:val="255"/>
        </w:trPr>
        <w:tc>
          <w:tcPr>
            <w:tcW w:w="2861" w:type="pct"/>
            <w:tcBorders>
              <w:top w:val="nil"/>
              <w:left w:val="nil"/>
              <w:bottom w:val="nil"/>
              <w:right w:val="nil"/>
            </w:tcBorders>
            <w:shd w:val="clear" w:color="auto" w:fill="FFFFFF"/>
            <w:noWrap/>
            <w:vAlign w:val="center"/>
          </w:tcPr>
          <w:p w14:paraId="5787A0A5" w14:textId="07C15120" w:rsidR="00D008D9" w:rsidRPr="00677D01" w:rsidRDefault="00D008D9" w:rsidP="00D008D9">
            <w:pPr>
              <w:pStyle w:val="af7"/>
              <w:spacing w:before="0" w:after="0"/>
              <w:jc w:val="left"/>
              <w:rPr>
                <w:b/>
                <w:color w:val="000000" w:themeColor="text1"/>
                <w:szCs w:val="20"/>
              </w:rPr>
            </w:pPr>
            <w:r w:rsidRPr="00677D01">
              <w:rPr>
                <w:b/>
                <w:color w:val="000000" w:themeColor="text1"/>
                <w:szCs w:val="20"/>
              </w:rPr>
              <w:t>Витрати на відсотки</w:t>
            </w:r>
          </w:p>
        </w:tc>
        <w:tc>
          <w:tcPr>
            <w:tcW w:w="1069" w:type="pct"/>
            <w:tcBorders>
              <w:top w:val="nil"/>
              <w:left w:val="nil"/>
              <w:bottom w:val="nil"/>
              <w:right w:val="nil"/>
            </w:tcBorders>
            <w:shd w:val="clear" w:color="auto" w:fill="FFFFFF"/>
            <w:vAlign w:val="center"/>
          </w:tcPr>
          <w:p w14:paraId="092ACD69" w14:textId="5B52FBC5" w:rsidR="00D008D9" w:rsidRPr="00677D01" w:rsidRDefault="00D008D9" w:rsidP="00D008D9">
            <w:pPr>
              <w:jc w:val="right"/>
              <w:rPr>
                <w:b/>
                <w:color w:val="000000" w:themeColor="text1"/>
                <w:szCs w:val="20"/>
              </w:rPr>
            </w:pPr>
            <w:r w:rsidRPr="00677D01">
              <w:rPr>
                <w:b/>
                <w:bCs/>
                <w:color w:val="000000" w:themeColor="text1"/>
                <w:szCs w:val="20"/>
              </w:rPr>
              <w:t xml:space="preserve">177 898 </w:t>
            </w:r>
          </w:p>
        </w:tc>
        <w:tc>
          <w:tcPr>
            <w:tcW w:w="1070" w:type="pct"/>
            <w:tcBorders>
              <w:top w:val="nil"/>
              <w:left w:val="nil"/>
              <w:bottom w:val="nil"/>
              <w:right w:val="nil"/>
            </w:tcBorders>
            <w:shd w:val="clear" w:color="auto" w:fill="FFFFFF"/>
            <w:vAlign w:val="center"/>
          </w:tcPr>
          <w:p w14:paraId="4A16E519" w14:textId="127B18D0" w:rsidR="00D008D9" w:rsidRPr="00677D01" w:rsidRDefault="00D008D9" w:rsidP="00D008D9">
            <w:pPr>
              <w:jc w:val="right"/>
              <w:rPr>
                <w:b/>
                <w:color w:val="000000" w:themeColor="text1"/>
                <w:szCs w:val="20"/>
                <w:lang w:val="ru-RU"/>
              </w:rPr>
            </w:pPr>
            <w:r w:rsidRPr="00677D01">
              <w:rPr>
                <w:b/>
                <w:bCs/>
                <w:color w:val="000000" w:themeColor="text1"/>
                <w:szCs w:val="20"/>
              </w:rPr>
              <w:t xml:space="preserve">177 898 </w:t>
            </w:r>
          </w:p>
        </w:tc>
      </w:tr>
      <w:tr w:rsidR="00D008D9" w:rsidRPr="00677D01" w14:paraId="15AC9F1E" w14:textId="77777777" w:rsidTr="00CF078D">
        <w:trPr>
          <w:trHeight w:val="255"/>
        </w:trPr>
        <w:tc>
          <w:tcPr>
            <w:tcW w:w="2861" w:type="pct"/>
            <w:tcBorders>
              <w:top w:val="nil"/>
              <w:left w:val="nil"/>
              <w:bottom w:val="nil"/>
              <w:right w:val="nil"/>
            </w:tcBorders>
            <w:shd w:val="clear" w:color="auto" w:fill="FFFFFF"/>
            <w:noWrap/>
            <w:vAlign w:val="center"/>
          </w:tcPr>
          <w:p w14:paraId="25D9085B" w14:textId="08833BB3" w:rsidR="00D008D9" w:rsidRPr="00677D01" w:rsidRDefault="00D008D9" w:rsidP="00D008D9">
            <w:pPr>
              <w:pStyle w:val="af7"/>
              <w:spacing w:before="0" w:after="0"/>
              <w:jc w:val="left"/>
              <w:rPr>
                <w:color w:val="000000" w:themeColor="text1"/>
                <w:szCs w:val="20"/>
              </w:rPr>
            </w:pPr>
            <w:r w:rsidRPr="00677D01">
              <w:rPr>
                <w:color w:val="000000" w:themeColor="text1"/>
                <w:szCs w:val="20"/>
              </w:rPr>
              <w:t>Кредити в національній валюті</w:t>
            </w:r>
          </w:p>
        </w:tc>
        <w:tc>
          <w:tcPr>
            <w:tcW w:w="1069" w:type="pct"/>
            <w:tcBorders>
              <w:top w:val="nil"/>
              <w:left w:val="nil"/>
              <w:bottom w:val="nil"/>
              <w:right w:val="nil"/>
            </w:tcBorders>
            <w:shd w:val="clear" w:color="auto" w:fill="FFFFFF"/>
            <w:vAlign w:val="center"/>
          </w:tcPr>
          <w:p w14:paraId="12225FA8" w14:textId="079076B7" w:rsidR="00D008D9" w:rsidRPr="00677D01" w:rsidRDefault="00D008D9" w:rsidP="00D008D9">
            <w:pPr>
              <w:jc w:val="right"/>
              <w:rPr>
                <w:color w:val="000000" w:themeColor="text1"/>
                <w:szCs w:val="20"/>
              </w:rPr>
            </w:pPr>
            <w:r w:rsidRPr="00677D01">
              <w:rPr>
                <w:color w:val="000000" w:themeColor="text1"/>
                <w:szCs w:val="20"/>
              </w:rPr>
              <w:t xml:space="preserve">177 898 </w:t>
            </w:r>
          </w:p>
        </w:tc>
        <w:tc>
          <w:tcPr>
            <w:tcW w:w="1070" w:type="pct"/>
            <w:tcBorders>
              <w:top w:val="nil"/>
              <w:left w:val="nil"/>
              <w:bottom w:val="nil"/>
              <w:right w:val="nil"/>
            </w:tcBorders>
            <w:shd w:val="clear" w:color="auto" w:fill="FFFFFF"/>
            <w:vAlign w:val="center"/>
          </w:tcPr>
          <w:p w14:paraId="4BBC6647" w14:textId="4BE5C4BB" w:rsidR="00D008D9" w:rsidRPr="00677D01" w:rsidRDefault="00D008D9" w:rsidP="00D008D9">
            <w:pPr>
              <w:jc w:val="right"/>
              <w:rPr>
                <w:color w:val="000000" w:themeColor="text1"/>
                <w:szCs w:val="20"/>
              </w:rPr>
            </w:pPr>
            <w:r w:rsidRPr="00677D01">
              <w:rPr>
                <w:color w:val="000000" w:themeColor="text1"/>
                <w:szCs w:val="20"/>
              </w:rPr>
              <w:t xml:space="preserve">177 898 </w:t>
            </w:r>
          </w:p>
        </w:tc>
      </w:tr>
      <w:tr w:rsidR="00D008D9" w:rsidRPr="00677D01" w14:paraId="335053C8" w14:textId="77777777" w:rsidTr="00CF078D">
        <w:trPr>
          <w:trHeight w:val="255"/>
        </w:trPr>
        <w:tc>
          <w:tcPr>
            <w:tcW w:w="2861" w:type="pct"/>
            <w:tcBorders>
              <w:top w:val="single" w:sz="4" w:space="0" w:color="auto"/>
              <w:left w:val="nil"/>
              <w:bottom w:val="nil"/>
              <w:right w:val="nil"/>
            </w:tcBorders>
            <w:shd w:val="clear" w:color="auto" w:fill="FFFFFF"/>
            <w:noWrap/>
            <w:vAlign w:val="center"/>
          </w:tcPr>
          <w:p w14:paraId="017548EC" w14:textId="77777777" w:rsidR="00D008D9" w:rsidRPr="00677D01" w:rsidRDefault="00D008D9" w:rsidP="00D008D9">
            <w:pPr>
              <w:jc w:val="left"/>
              <w:rPr>
                <w:b/>
                <w:bCs/>
                <w:color w:val="000000" w:themeColor="text1"/>
                <w:szCs w:val="20"/>
              </w:rPr>
            </w:pPr>
            <w:r w:rsidRPr="00677D01">
              <w:rPr>
                <w:b/>
                <w:bCs/>
                <w:color w:val="000000" w:themeColor="text1"/>
                <w:szCs w:val="20"/>
              </w:rPr>
              <w:t>Разом:</w:t>
            </w:r>
          </w:p>
        </w:tc>
        <w:tc>
          <w:tcPr>
            <w:tcW w:w="1069" w:type="pct"/>
            <w:tcBorders>
              <w:top w:val="single" w:sz="4" w:space="0" w:color="auto"/>
              <w:left w:val="nil"/>
              <w:bottom w:val="nil"/>
              <w:right w:val="nil"/>
            </w:tcBorders>
            <w:shd w:val="clear" w:color="auto" w:fill="FFFFFF"/>
            <w:vAlign w:val="center"/>
          </w:tcPr>
          <w:p w14:paraId="0B7B42CE" w14:textId="28C49E62" w:rsidR="00D008D9" w:rsidRPr="00677D01" w:rsidRDefault="00D008D9" w:rsidP="00D008D9">
            <w:pPr>
              <w:jc w:val="right"/>
              <w:rPr>
                <w:b/>
                <w:bCs/>
                <w:color w:val="000000" w:themeColor="text1"/>
                <w:szCs w:val="20"/>
              </w:rPr>
            </w:pPr>
            <w:r w:rsidRPr="00677D01">
              <w:rPr>
                <w:b/>
                <w:bCs/>
                <w:color w:val="000000" w:themeColor="text1"/>
                <w:szCs w:val="20"/>
              </w:rPr>
              <w:t xml:space="preserve">177 898 </w:t>
            </w:r>
          </w:p>
        </w:tc>
        <w:tc>
          <w:tcPr>
            <w:tcW w:w="1070" w:type="pct"/>
            <w:tcBorders>
              <w:top w:val="single" w:sz="4" w:space="0" w:color="auto"/>
              <w:left w:val="nil"/>
              <w:bottom w:val="nil"/>
              <w:right w:val="nil"/>
            </w:tcBorders>
            <w:shd w:val="clear" w:color="auto" w:fill="FFFFFF"/>
            <w:vAlign w:val="center"/>
          </w:tcPr>
          <w:p w14:paraId="12BE8DBD" w14:textId="7FE4DCD7" w:rsidR="00D008D9" w:rsidRPr="00677D01" w:rsidRDefault="00D008D9" w:rsidP="00D008D9">
            <w:pPr>
              <w:jc w:val="right"/>
              <w:rPr>
                <w:b/>
                <w:bCs/>
                <w:color w:val="000000" w:themeColor="text1"/>
                <w:szCs w:val="20"/>
              </w:rPr>
            </w:pPr>
            <w:r w:rsidRPr="00677D01">
              <w:rPr>
                <w:b/>
                <w:bCs/>
                <w:color w:val="000000" w:themeColor="text1"/>
                <w:szCs w:val="20"/>
              </w:rPr>
              <w:t xml:space="preserve">177 898 </w:t>
            </w:r>
          </w:p>
        </w:tc>
      </w:tr>
    </w:tbl>
    <w:p w14:paraId="5FA0311B" w14:textId="2A0190C9" w:rsidR="00266D77" w:rsidRPr="00677D01" w:rsidRDefault="00266D77" w:rsidP="00266D77">
      <w:pPr>
        <w:pStyle w:val="af7"/>
        <w:spacing w:before="240"/>
        <w:rPr>
          <w:color w:val="000000" w:themeColor="text1"/>
          <w:szCs w:val="20"/>
        </w:rPr>
      </w:pPr>
      <w:r w:rsidRPr="00677D01">
        <w:rPr>
          <w:color w:val="000000" w:themeColor="text1"/>
        </w:rPr>
        <w:t xml:space="preserve">Виконання </w:t>
      </w:r>
      <w:r w:rsidRPr="00677D01">
        <w:rPr>
          <w:color w:val="000000" w:themeColor="text1"/>
          <w:szCs w:val="20"/>
        </w:rPr>
        <w:t>зобов'язань за кредитними дог</w:t>
      </w:r>
      <w:r w:rsidR="00D008D9" w:rsidRPr="00677D01">
        <w:rPr>
          <w:color w:val="000000" w:themeColor="text1"/>
          <w:szCs w:val="20"/>
        </w:rPr>
        <w:t>оворами станом на 31.12.2020</w:t>
      </w:r>
      <w:r w:rsidRPr="00677D01">
        <w:rPr>
          <w:color w:val="000000" w:themeColor="text1"/>
          <w:szCs w:val="20"/>
        </w:rPr>
        <w:t xml:space="preserve"> забезпечено заставою</w:t>
      </w:r>
      <w:r w:rsidR="006725A7" w:rsidRPr="00677D01">
        <w:rPr>
          <w:color w:val="000000" w:themeColor="text1"/>
          <w:szCs w:val="20"/>
        </w:rPr>
        <w:t xml:space="preserve"> основних засобів</w:t>
      </w:r>
      <w:r w:rsidRPr="00677D01">
        <w:rPr>
          <w:color w:val="000000" w:themeColor="text1"/>
          <w:szCs w:val="20"/>
        </w:rPr>
        <w:t xml:space="preserve"> на загальну суму </w:t>
      </w:r>
      <w:r w:rsidR="00914436" w:rsidRPr="003825A1">
        <w:rPr>
          <w:rFonts w:asciiTheme="minorHAnsi" w:hAnsiTheme="minorHAnsi" w:cstheme="minorHAnsi"/>
          <w:color w:val="000000" w:themeColor="text1"/>
          <w:lang w:val="ru-RU"/>
        </w:rPr>
        <w:t>137</w:t>
      </w:r>
      <w:r w:rsidR="00914436">
        <w:rPr>
          <w:rFonts w:asciiTheme="minorHAnsi" w:hAnsiTheme="minorHAnsi" w:cstheme="minorHAnsi"/>
          <w:color w:val="000000" w:themeColor="text1"/>
          <w:lang w:val="ru-RU"/>
        </w:rPr>
        <w:t> </w:t>
      </w:r>
      <w:r w:rsidR="00914436" w:rsidRPr="003825A1">
        <w:rPr>
          <w:rFonts w:asciiTheme="minorHAnsi" w:hAnsiTheme="minorHAnsi" w:cstheme="minorHAnsi"/>
          <w:color w:val="000000" w:themeColor="text1"/>
          <w:lang w:val="ru-RU"/>
        </w:rPr>
        <w:t xml:space="preserve">423 </w:t>
      </w:r>
      <w:r w:rsidR="00CF078D" w:rsidRPr="00677D01">
        <w:rPr>
          <w:color w:val="000000" w:themeColor="text1"/>
          <w:szCs w:val="20"/>
        </w:rPr>
        <w:t>тис. грн</w:t>
      </w:r>
      <w:r w:rsidRPr="00677D01">
        <w:rPr>
          <w:color w:val="000000" w:themeColor="text1"/>
          <w:szCs w:val="20"/>
        </w:rPr>
        <w:t>,</w:t>
      </w:r>
      <w:r w:rsidR="001C14B6" w:rsidRPr="00677D01">
        <w:rPr>
          <w:color w:val="000000" w:themeColor="text1"/>
          <w:szCs w:val="20"/>
        </w:rPr>
        <w:t xml:space="preserve"> (Примітка 10)</w:t>
      </w:r>
      <w:r w:rsidRPr="00677D01">
        <w:rPr>
          <w:color w:val="000000" w:themeColor="text1"/>
          <w:szCs w:val="20"/>
        </w:rPr>
        <w:t>.</w:t>
      </w:r>
    </w:p>
    <w:p w14:paraId="240A1593" w14:textId="77777777" w:rsidR="002A5110" w:rsidRPr="000F401C" w:rsidRDefault="002A5110" w:rsidP="002A5110">
      <w:pPr>
        <w:pStyle w:val="1"/>
        <w:rPr>
          <w:color w:val="000000" w:themeColor="text1"/>
          <w:szCs w:val="20"/>
        </w:rPr>
      </w:pPr>
      <w:bookmarkStart w:id="126" w:name="_Toc68253972"/>
      <w:r w:rsidRPr="000F401C">
        <w:rPr>
          <w:color w:val="000000" w:themeColor="text1"/>
          <w:szCs w:val="20"/>
        </w:rPr>
        <w:t>Забезпечення</w:t>
      </w:r>
      <w:bookmarkEnd w:id="126"/>
    </w:p>
    <w:tbl>
      <w:tblPr>
        <w:tblW w:w="5000" w:type="pct"/>
        <w:tblLayout w:type="fixed"/>
        <w:tblLook w:val="00A0" w:firstRow="1" w:lastRow="0" w:firstColumn="1" w:lastColumn="0" w:noHBand="0" w:noVBand="0"/>
      </w:tblPr>
      <w:tblGrid>
        <w:gridCol w:w="3019"/>
        <w:gridCol w:w="2910"/>
        <w:gridCol w:w="1854"/>
        <w:gridCol w:w="1854"/>
      </w:tblGrid>
      <w:tr w:rsidR="00CF078D" w:rsidRPr="000F401C" w14:paraId="7EE7AB00" w14:textId="77777777" w:rsidTr="002A5110">
        <w:trPr>
          <w:trHeight w:val="510"/>
          <w:tblHeader/>
        </w:trPr>
        <w:tc>
          <w:tcPr>
            <w:tcW w:w="1566" w:type="pct"/>
            <w:tcBorders>
              <w:left w:val="nil"/>
              <w:bottom w:val="single" w:sz="4" w:space="0" w:color="auto"/>
              <w:right w:val="nil"/>
            </w:tcBorders>
            <w:noWrap/>
            <w:vAlign w:val="center"/>
          </w:tcPr>
          <w:p w14:paraId="31EA7AAD" w14:textId="60FEB67A" w:rsidR="002A5110" w:rsidRPr="000F401C" w:rsidRDefault="00CF078D" w:rsidP="002A5110">
            <w:pPr>
              <w:jc w:val="left"/>
              <w:rPr>
                <w:b/>
                <w:bCs/>
                <w:color w:val="000000" w:themeColor="text1"/>
                <w:szCs w:val="20"/>
              </w:rPr>
            </w:pPr>
            <w:r w:rsidRPr="000F401C">
              <w:rPr>
                <w:b/>
                <w:bCs/>
                <w:color w:val="000000" w:themeColor="text1"/>
                <w:szCs w:val="20"/>
              </w:rPr>
              <w:t>19</w:t>
            </w:r>
            <w:r w:rsidR="002A5110" w:rsidRPr="000F401C">
              <w:rPr>
                <w:b/>
                <w:bCs/>
                <w:color w:val="000000" w:themeColor="text1"/>
                <w:szCs w:val="20"/>
              </w:rPr>
              <w:t>.1 Забезпечення</w:t>
            </w:r>
          </w:p>
        </w:tc>
        <w:tc>
          <w:tcPr>
            <w:tcW w:w="1510" w:type="pct"/>
            <w:tcBorders>
              <w:left w:val="nil"/>
              <w:bottom w:val="single" w:sz="4" w:space="0" w:color="auto"/>
              <w:right w:val="nil"/>
            </w:tcBorders>
            <w:vAlign w:val="center"/>
          </w:tcPr>
          <w:p w14:paraId="0B710343" w14:textId="77777777" w:rsidR="002A5110" w:rsidRPr="000F401C" w:rsidRDefault="002A5110" w:rsidP="002A5110">
            <w:pPr>
              <w:jc w:val="center"/>
              <w:rPr>
                <w:b/>
                <w:bCs/>
                <w:color w:val="000000" w:themeColor="text1"/>
                <w:szCs w:val="20"/>
              </w:rPr>
            </w:pPr>
            <w:r w:rsidRPr="000F401C">
              <w:rPr>
                <w:b/>
                <w:bCs/>
                <w:color w:val="000000" w:themeColor="text1"/>
                <w:szCs w:val="20"/>
              </w:rPr>
              <w:t>Забезпечення невикористаних відпусток</w:t>
            </w:r>
          </w:p>
        </w:tc>
        <w:tc>
          <w:tcPr>
            <w:tcW w:w="962" w:type="pct"/>
            <w:tcBorders>
              <w:left w:val="nil"/>
              <w:bottom w:val="single" w:sz="4" w:space="0" w:color="auto"/>
              <w:right w:val="nil"/>
            </w:tcBorders>
            <w:vAlign w:val="center"/>
          </w:tcPr>
          <w:p w14:paraId="0996CE9A" w14:textId="77777777" w:rsidR="002A5110" w:rsidRPr="000F401C" w:rsidRDefault="002A5110" w:rsidP="002A5110">
            <w:pPr>
              <w:jc w:val="center"/>
              <w:rPr>
                <w:b/>
                <w:bCs/>
                <w:color w:val="000000" w:themeColor="text1"/>
                <w:szCs w:val="20"/>
              </w:rPr>
            </w:pPr>
            <w:r w:rsidRPr="000F401C">
              <w:rPr>
                <w:b/>
                <w:bCs/>
                <w:color w:val="000000" w:themeColor="text1"/>
                <w:szCs w:val="20"/>
              </w:rPr>
              <w:t>Інші</w:t>
            </w:r>
          </w:p>
          <w:p w14:paraId="79809254" w14:textId="34568047" w:rsidR="002A5110" w:rsidRPr="000F401C" w:rsidRDefault="002A5110" w:rsidP="002A5110">
            <w:pPr>
              <w:jc w:val="center"/>
              <w:rPr>
                <w:b/>
                <w:bCs/>
                <w:color w:val="000000" w:themeColor="text1"/>
                <w:szCs w:val="20"/>
              </w:rPr>
            </w:pPr>
            <w:r w:rsidRPr="000F401C">
              <w:rPr>
                <w:b/>
                <w:bCs/>
                <w:color w:val="000000" w:themeColor="text1"/>
                <w:szCs w:val="20"/>
              </w:rPr>
              <w:t>забезпечення</w:t>
            </w:r>
          </w:p>
        </w:tc>
        <w:tc>
          <w:tcPr>
            <w:tcW w:w="962" w:type="pct"/>
            <w:tcBorders>
              <w:left w:val="nil"/>
              <w:bottom w:val="single" w:sz="4" w:space="0" w:color="auto"/>
              <w:right w:val="nil"/>
            </w:tcBorders>
            <w:vAlign w:val="center"/>
          </w:tcPr>
          <w:p w14:paraId="547A9D0C" w14:textId="75840100" w:rsidR="002A5110" w:rsidRPr="000F401C" w:rsidRDefault="002A5110" w:rsidP="002A5110">
            <w:pPr>
              <w:jc w:val="center"/>
              <w:rPr>
                <w:b/>
                <w:bCs/>
                <w:color w:val="000000" w:themeColor="text1"/>
                <w:szCs w:val="20"/>
              </w:rPr>
            </w:pPr>
            <w:r w:rsidRPr="000F401C">
              <w:rPr>
                <w:b/>
                <w:bCs/>
                <w:color w:val="000000" w:themeColor="text1"/>
                <w:szCs w:val="20"/>
              </w:rPr>
              <w:t>Разом</w:t>
            </w:r>
          </w:p>
        </w:tc>
      </w:tr>
      <w:tr w:rsidR="007322D8" w:rsidRPr="000F401C" w14:paraId="366698DE" w14:textId="77777777" w:rsidTr="00CF078D">
        <w:trPr>
          <w:trHeight w:val="255"/>
        </w:trPr>
        <w:tc>
          <w:tcPr>
            <w:tcW w:w="1566" w:type="pct"/>
            <w:tcBorders>
              <w:top w:val="single" w:sz="4" w:space="0" w:color="auto"/>
              <w:left w:val="nil"/>
              <w:bottom w:val="single" w:sz="4" w:space="0" w:color="auto"/>
              <w:right w:val="nil"/>
            </w:tcBorders>
            <w:noWrap/>
            <w:vAlign w:val="center"/>
          </w:tcPr>
          <w:p w14:paraId="18981072" w14:textId="24733B5F" w:rsidR="007322D8" w:rsidRPr="000F401C" w:rsidRDefault="007322D8" w:rsidP="007322D8">
            <w:pPr>
              <w:pStyle w:val="af7"/>
              <w:spacing w:before="0" w:after="0"/>
              <w:jc w:val="left"/>
              <w:rPr>
                <w:b/>
                <w:color w:val="000000" w:themeColor="text1"/>
                <w:szCs w:val="20"/>
              </w:rPr>
            </w:pPr>
            <w:r w:rsidRPr="000F401C">
              <w:rPr>
                <w:b/>
                <w:color w:val="000000" w:themeColor="text1"/>
                <w:szCs w:val="20"/>
              </w:rPr>
              <w:t>Станом на 31.12.2018</w:t>
            </w:r>
          </w:p>
        </w:tc>
        <w:tc>
          <w:tcPr>
            <w:tcW w:w="1510" w:type="pct"/>
            <w:tcBorders>
              <w:top w:val="single" w:sz="4" w:space="0" w:color="auto"/>
              <w:left w:val="nil"/>
              <w:bottom w:val="single" w:sz="4" w:space="0" w:color="auto"/>
              <w:right w:val="nil"/>
            </w:tcBorders>
            <w:vAlign w:val="center"/>
          </w:tcPr>
          <w:p w14:paraId="1CBB9931" w14:textId="2C01C49D" w:rsidR="007322D8" w:rsidRPr="000F401C" w:rsidRDefault="007322D8" w:rsidP="007322D8">
            <w:pPr>
              <w:jc w:val="right"/>
              <w:rPr>
                <w:bCs/>
                <w:color w:val="000000" w:themeColor="text1"/>
                <w:szCs w:val="20"/>
              </w:rPr>
            </w:pPr>
            <w:r w:rsidRPr="000F401C">
              <w:rPr>
                <w:b/>
                <w:color w:val="000000" w:themeColor="text1"/>
                <w:szCs w:val="20"/>
              </w:rPr>
              <w:t xml:space="preserve">25 009 </w:t>
            </w:r>
          </w:p>
        </w:tc>
        <w:tc>
          <w:tcPr>
            <w:tcW w:w="962" w:type="pct"/>
            <w:tcBorders>
              <w:top w:val="single" w:sz="4" w:space="0" w:color="auto"/>
              <w:left w:val="nil"/>
              <w:bottom w:val="single" w:sz="4" w:space="0" w:color="auto"/>
              <w:right w:val="nil"/>
            </w:tcBorders>
            <w:vAlign w:val="center"/>
          </w:tcPr>
          <w:p w14:paraId="63F0B3FB" w14:textId="7454ABB3" w:rsidR="007322D8" w:rsidRPr="000F401C" w:rsidRDefault="007322D8" w:rsidP="007322D8">
            <w:pPr>
              <w:jc w:val="right"/>
              <w:rPr>
                <w:bCs/>
                <w:color w:val="000000" w:themeColor="text1"/>
                <w:szCs w:val="20"/>
              </w:rPr>
            </w:pPr>
            <w:r w:rsidRPr="000F401C">
              <w:rPr>
                <w:b/>
                <w:color w:val="000000" w:themeColor="text1"/>
                <w:szCs w:val="20"/>
              </w:rPr>
              <w:t xml:space="preserve">222 728 </w:t>
            </w:r>
          </w:p>
        </w:tc>
        <w:tc>
          <w:tcPr>
            <w:tcW w:w="962" w:type="pct"/>
            <w:tcBorders>
              <w:top w:val="single" w:sz="4" w:space="0" w:color="auto"/>
              <w:left w:val="nil"/>
              <w:bottom w:val="single" w:sz="4" w:space="0" w:color="auto"/>
              <w:right w:val="nil"/>
            </w:tcBorders>
            <w:vAlign w:val="center"/>
          </w:tcPr>
          <w:p w14:paraId="24359374" w14:textId="4EC3DCC0" w:rsidR="007322D8" w:rsidRPr="000F401C" w:rsidRDefault="007322D8" w:rsidP="007322D8">
            <w:pPr>
              <w:jc w:val="right"/>
              <w:rPr>
                <w:bCs/>
                <w:color w:val="000000" w:themeColor="text1"/>
                <w:szCs w:val="20"/>
              </w:rPr>
            </w:pPr>
            <w:r w:rsidRPr="000F401C">
              <w:rPr>
                <w:b/>
                <w:bCs/>
                <w:color w:val="000000" w:themeColor="text1"/>
                <w:szCs w:val="20"/>
              </w:rPr>
              <w:t xml:space="preserve">247 737 </w:t>
            </w:r>
          </w:p>
        </w:tc>
      </w:tr>
      <w:tr w:rsidR="007322D8" w:rsidRPr="000F401C" w14:paraId="6DBDE301" w14:textId="77777777" w:rsidTr="00CF078D">
        <w:trPr>
          <w:trHeight w:val="255"/>
        </w:trPr>
        <w:tc>
          <w:tcPr>
            <w:tcW w:w="1566" w:type="pct"/>
            <w:tcBorders>
              <w:top w:val="single" w:sz="4" w:space="0" w:color="auto"/>
              <w:left w:val="nil"/>
              <w:right w:val="nil"/>
            </w:tcBorders>
            <w:noWrap/>
            <w:vAlign w:val="center"/>
          </w:tcPr>
          <w:p w14:paraId="19033A51" w14:textId="3CC22982" w:rsidR="007322D8" w:rsidRPr="000F401C" w:rsidRDefault="007322D8" w:rsidP="007322D8">
            <w:pPr>
              <w:pStyle w:val="af7"/>
              <w:spacing w:before="0" w:after="0"/>
              <w:jc w:val="left"/>
              <w:rPr>
                <w:color w:val="000000" w:themeColor="text1"/>
                <w:szCs w:val="20"/>
              </w:rPr>
            </w:pPr>
            <w:r w:rsidRPr="000F401C">
              <w:rPr>
                <w:color w:val="000000" w:themeColor="text1"/>
                <w:szCs w:val="20"/>
              </w:rPr>
              <w:t>Нарахування за рік</w:t>
            </w:r>
          </w:p>
        </w:tc>
        <w:tc>
          <w:tcPr>
            <w:tcW w:w="1510" w:type="pct"/>
            <w:tcBorders>
              <w:top w:val="single" w:sz="4" w:space="0" w:color="auto"/>
              <w:left w:val="nil"/>
              <w:right w:val="nil"/>
            </w:tcBorders>
            <w:vAlign w:val="center"/>
          </w:tcPr>
          <w:p w14:paraId="2BE0FBB6" w14:textId="68065A1E" w:rsidR="007322D8" w:rsidRPr="000F401C" w:rsidRDefault="007322D8" w:rsidP="007322D8">
            <w:pPr>
              <w:jc w:val="right"/>
              <w:rPr>
                <w:color w:val="000000" w:themeColor="text1"/>
                <w:szCs w:val="20"/>
              </w:rPr>
            </w:pPr>
            <w:r w:rsidRPr="000F401C">
              <w:rPr>
                <w:color w:val="000000" w:themeColor="text1"/>
                <w:szCs w:val="20"/>
              </w:rPr>
              <w:t xml:space="preserve">29 440 </w:t>
            </w:r>
          </w:p>
        </w:tc>
        <w:tc>
          <w:tcPr>
            <w:tcW w:w="962" w:type="pct"/>
            <w:tcBorders>
              <w:top w:val="single" w:sz="4" w:space="0" w:color="auto"/>
              <w:left w:val="nil"/>
              <w:right w:val="nil"/>
            </w:tcBorders>
            <w:vAlign w:val="center"/>
          </w:tcPr>
          <w:p w14:paraId="71253720" w14:textId="56BC2F00" w:rsidR="007322D8" w:rsidRPr="000F401C" w:rsidRDefault="007322D8" w:rsidP="007322D8">
            <w:pPr>
              <w:jc w:val="right"/>
              <w:rPr>
                <w:color w:val="000000" w:themeColor="text1"/>
                <w:szCs w:val="20"/>
              </w:rPr>
            </w:pPr>
          </w:p>
        </w:tc>
        <w:tc>
          <w:tcPr>
            <w:tcW w:w="962" w:type="pct"/>
            <w:tcBorders>
              <w:top w:val="single" w:sz="4" w:space="0" w:color="auto"/>
              <w:left w:val="nil"/>
              <w:right w:val="nil"/>
            </w:tcBorders>
            <w:vAlign w:val="center"/>
          </w:tcPr>
          <w:p w14:paraId="3BC0C7CD" w14:textId="7489B759" w:rsidR="007322D8" w:rsidRPr="000F401C" w:rsidRDefault="007322D8" w:rsidP="007322D8">
            <w:pPr>
              <w:jc w:val="right"/>
              <w:rPr>
                <w:b/>
                <w:bCs/>
                <w:color w:val="000000" w:themeColor="text1"/>
                <w:szCs w:val="20"/>
              </w:rPr>
            </w:pPr>
            <w:r w:rsidRPr="000F401C">
              <w:rPr>
                <w:b/>
                <w:bCs/>
                <w:color w:val="000000" w:themeColor="text1"/>
                <w:szCs w:val="20"/>
              </w:rPr>
              <w:t xml:space="preserve">29 440 </w:t>
            </w:r>
          </w:p>
        </w:tc>
      </w:tr>
      <w:tr w:rsidR="007322D8" w:rsidRPr="000F401C" w14:paraId="25FD1570" w14:textId="77777777" w:rsidTr="00CF078D">
        <w:trPr>
          <w:trHeight w:val="255"/>
        </w:trPr>
        <w:tc>
          <w:tcPr>
            <w:tcW w:w="1566" w:type="pct"/>
            <w:tcBorders>
              <w:left w:val="nil"/>
              <w:bottom w:val="single" w:sz="4" w:space="0" w:color="auto"/>
              <w:right w:val="nil"/>
            </w:tcBorders>
            <w:noWrap/>
            <w:vAlign w:val="center"/>
          </w:tcPr>
          <w:p w14:paraId="28BA8DE8" w14:textId="0E624C99" w:rsidR="007322D8" w:rsidRPr="000F401C" w:rsidRDefault="007322D8" w:rsidP="007322D8">
            <w:pPr>
              <w:pStyle w:val="af7"/>
              <w:spacing w:before="0" w:after="0"/>
              <w:jc w:val="left"/>
              <w:rPr>
                <w:color w:val="000000" w:themeColor="text1"/>
                <w:szCs w:val="20"/>
              </w:rPr>
            </w:pPr>
            <w:r w:rsidRPr="000F401C">
              <w:rPr>
                <w:color w:val="000000" w:themeColor="text1"/>
                <w:szCs w:val="20"/>
              </w:rPr>
              <w:t>Використано протягом року</w:t>
            </w:r>
          </w:p>
        </w:tc>
        <w:tc>
          <w:tcPr>
            <w:tcW w:w="1510" w:type="pct"/>
            <w:tcBorders>
              <w:left w:val="nil"/>
              <w:bottom w:val="single" w:sz="4" w:space="0" w:color="auto"/>
              <w:right w:val="nil"/>
            </w:tcBorders>
            <w:vAlign w:val="center"/>
          </w:tcPr>
          <w:p w14:paraId="17E2D088" w14:textId="5055EF76" w:rsidR="007322D8" w:rsidRPr="000F401C" w:rsidRDefault="007322D8" w:rsidP="007322D8">
            <w:pPr>
              <w:jc w:val="right"/>
              <w:rPr>
                <w:color w:val="000000" w:themeColor="text1"/>
                <w:szCs w:val="20"/>
              </w:rPr>
            </w:pPr>
            <w:r w:rsidRPr="000F401C">
              <w:rPr>
                <w:color w:val="000000" w:themeColor="text1"/>
                <w:szCs w:val="20"/>
              </w:rPr>
              <w:t>(27 352)</w:t>
            </w:r>
          </w:p>
        </w:tc>
        <w:tc>
          <w:tcPr>
            <w:tcW w:w="962" w:type="pct"/>
            <w:tcBorders>
              <w:left w:val="nil"/>
              <w:bottom w:val="single" w:sz="4" w:space="0" w:color="auto"/>
              <w:right w:val="nil"/>
            </w:tcBorders>
            <w:vAlign w:val="center"/>
          </w:tcPr>
          <w:p w14:paraId="73669D50" w14:textId="51B7534E" w:rsidR="007322D8" w:rsidRPr="000F401C" w:rsidRDefault="007322D8" w:rsidP="007322D8">
            <w:pPr>
              <w:jc w:val="right"/>
              <w:rPr>
                <w:color w:val="000000" w:themeColor="text1"/>
                <w:szCs w:val="20"/>
              </w:rPr>
            </w:pPr>
            <w:r w:rsidRPr="000F401C">
              <w:rPr>
                <w:color w:val="000000" w:themeColor="text1"/>
                <w:szCs w:val="20"/>
              </w:rPr>
              <w:t>(222 728)</w:t>
            </w:r>
          </w:p>
        </w:tc>
        <w:tc>
          <w:tcPr>
            <w:tcW w:w="962" w:type="pct"/>
            <w:tcBorders>
              <w:left w:val="nil"/>
              <w:bottom w:val="single" w:sz="4" w:space="0" w:color="auto"/>
              <w:right w:val="nil"/>
            </w:tcBorders>
            <w:vAlign w:val="center"/>
          </w:tcPr>
          <w:p w14:paraId="42ADF0D6" w14:textId="098DB089" w:rsidR="007322D8" w:rsidRPr="000F401C" w:rsidRDefault="007322D8" w:rsidP="007322D8">
            <w:pPr>
              <w:jc w:val="right"/>
              <w:rPr>
                <w:b/>
                <w:bCs/>
                <w:color w:val="000000" w:themeColor="text1"/>
                <w:szCs w:val="20"/>
              </w:rPr>
            </w:pPr>
            <w:r w:rsidRPr="000F401C">
              <w:rPr>
                <w:b/>
                <w:bCs/>
                <w:color w:val="000000" w:themeColor="text1"/>
                <w:szCs w:val="20"/>
              </w:rPr>
              <w:t>(250 080)</w:t>
            </w:r>
          </w:p>
        </w:tc>
      </w:tr>
      <w:tr w:rsidR="007322D8" w:rsidRPr="008756CD" w14:paraId="3ABAE5A9" w14:textId="77777777" w:rsidTr="00CF078D">
        <w:trPr>
          <w:trHeight w:val="255"/>
        </w:trPr>
        <w:tc>
          <w:tcPr>
            <w:tcW w:w="1566" w:type="pct"/>
            <w:tcBorders>
              <w:top w:val="single" w:sz="4" w:space="0" w:color="auto"/>
              <w:left w:val="nil"/>
              <w:bottom w:val="single" w:sz="4" w:space="0" w:color="auto"/>
              <w:right w:val="nil"/>
            </w:tcBorders>
            <w:noWrap/>
            <w:vAlign w:val="center"/>
          </w:tcPr>
          <w:p w14:paraId="792C3F67" w14:textId="7C474026" w:rsidR="007322D8" w:rsidRPr="00677D01" w:rsidRDefault="007322D8" w:rsidP="007322D8">
            <w:pPr>
              <w:pStyle w:val="af7"/>
              <w:spacing w:before="0" w:after="0"/>
              <w:jc w:val="left"/>
              <w:rPr>
                <w:b/>
                <w:color w:val="000000" w:themeColor="text1"/>
                <w:szCs w:val="20"/>
              </w:rPr>
            </w:pPr>
            <w:r w:rsidRPr="00677D01">
              <w:rPr>
                <w:b/>
                <w:color w:val="000000" w:themeColor="text1"/>
                <w:szCs w:val="20"/>
              </w:rPr>
              <w:t>Станом на 31.12.2019</w:t>
            </w:r>
          </w:p>
        </w:tc>
        <w:tc>
          <w:tcPr>
            <w:tcW w:w="1510" w:type="pct"/>
            <w:tcBorders>
              <w:top w:val="single" w:sz="4" w:space="0" w:color="auto"/>
              <w:left w:val="nil"/>
              <w:bottom w:val="single" w:sz="4" w:space="0" w:color="auto"/>
              <w:right w:val="nil"/>
            </w:tcBorders>
            <w:vAlign w:val="center"/>
          </w:tcPr>
          <w:p w14:paraId="31894AD4" w14:textId="434D6E09" w:rsidR="007322D8" w:rsidRPr="00677D01" w:rsidRDefault="00677D01" w:rsidP="007322D8">
            <w:pPr>
              <w:jc w:val="right"/>
              <w:rPr>
                <w:b/>
                <w:bCs/>
                <w:color w:val="000000" w:themeColor="text1"/>
                <w:szCs w:val="20"/>
              </w:rPr>
            </w:pPr>
            <w:r w:rsidRPr="00677D01">
              <w:rPr>
                <w:b/>
                <w:color w:val="000000" w:themeColor="text1"/>
                <w:szCs w:val="20"/>
              </w:rPr>
              <w:t>27 097</w:t>
            </w:r>
            <w:r w:rsidR="007322D8" w:rsidRPr="00677D01">
              <w:rPr>
                <w:b/>
                <w:color w:val="000000" w:themeColor="text1"/>
                <w:szCs w:val="20"/>
              </w:rPr>
              <w:t xml:space="preserve"> </w:t>
            </w:r>
          </w:p>
        </w:tc>
        <w:tc>
          <w:tcPr>
            <w:tcW w:w="962" w:type="pct"/>
            <w:tcBorders>
              <w:top w:val="single" w:sz="4" w:space="0" w:color="auto"/>
              <w:left w:val="nil"/>
              <w:bottom w:val="single" w:sz="4" w:space="0" w:color="auto"/>
              <w:right w:val="nil"/>
            </w:tcBorders>
            <w:vAlign w:val="center"/>
          </w:tcPr>
          <w:p w14:paraId="7B087CF5" w14:textId="23835CAF" w:rsidR="007322D8" w:rsidRPr="00677D01" w:rsidRDefault="00677D01" w:rsidP="007322D8">
            <w:pPr>
              <w:jc w:val="right"/>
              <w:rPr>
                <w:b/>
                <w:bCs/>
                <w:color w:val="000000" w:themeColor="text1"/>
                <w:szCs w:val="20"/>
              </w:rPr>
            </w:pPr>
            <w:r w:rsidRPr="00677D01">
              <w:rPr>
                <w:b/>
                <w:color w:val="000000" w:themeColor="text1"/>
                <w:szCs w:val="20"/>
              </w:rPr>
              <w:t>-</w:t>
            </w:r>
            <w:r w:rsidR="007322D8" w:rsidRPr="00677D01">
              <w:rPr>
                <w:b/>
                <w:color w:val="000000" w:themeColor="text1"/>
                <w:szCs w:val="20"/>
              </w:rPr>
              <w:t xml:space="preserve"> </w:t>
            </w:r>
          </w:p>
        </w:tc>
        <w:tc>
          <w:tcPr>
            <w:tcW w:w="962" w:type="pct"/>
            <w:tcBorders>
              <w:top w:val="single" w:sz="4" w:space="0" w:color="auto"/>
              <w:left w:val="nil"/>
              <w:bottom w:val="single" w:sz="4" w:space="0" w:color="auto"/>
              <w:right w:val="nil"/>
            </w:tcBorders>
            <w:vAlign w:val="center"/>
          </w:tcPr>
          <w:p w14:paraId="0FAEA9F5" w14:textId="325BD447" w:rsidR="007322D8" w:rsidRPr="00677D01" w:rsidRDefault="00677D01" w:rsidP="007322D8">
            <w:pPr>
              <w:jc w:val="right"/>
              <w:rPr>
                <w:b/>
                <w:bCs/>
                <w:color w:val="000000" w:themeColor="text1"/>
                <w:szCs w:val="20"/>
              </w:rPr>
            </w:pPr>
            <w:r w:rsidRPr="00677D01">
              <w:rPr>
                <w:b/>
                <w:bCs/>
                <w:color w:val="000000" w:themeColor="text1"/>
                <w:szCs w:val="20"/>
              </w:rPr>
              <w:t>27 097</w:t>
            </w:r>
            <w:r w:rsidR="007322D8" w:rsidRPr="00677D01">
              <w:rPr>
                <w:b/>
                <w:bCs/>
                <w:color w:val="000000" w:themeColor="text1"/>
                <w:szCs w:val="20"/>
              </w:rPr>
              <w:t xml:space="preserve"> </w:t>
            </w:r>
          </w:p>
        </w:tc>
      </w:tr>
      <w:tr w:rsidR="00CF078D" w:rsidRPr="008756CD" w14:paraId="1E1E7B14" w14:textId="77777777" w:rsidTr="00CF078D">
        <w:trPr>
          <w:trHeight w:val="255"/>
        </w:trPr>
        <w:tc>
          <w:tcPr>
            <w:tcW w:w="1566" w:type="pct"/>
            <w:tcBorders>
              <w:top w:val="single" w:sz="4" w:space="0" w:color="auto"/>
              <w:left w:val="nil"/>
              <w:bottom w:val="single" w:sz="4" w:space="0" w:color="auto"/>
              <w:right w:val="nil"/>
            </w:tcBorders>
            <w:noWrap/>
            <w:vAlign w:val="center"/>
          </w:tcPr>
          <w:p w14:paraId="06AF6CBA" w14:textId="61AFD4FD" w:rsidR="00CF078D" w:rsidRPr="00677D01" w:rsidRDefault="00CF078D" w:rsidP="00A600F3">
            <w:pPr>
              <w:pStyle w:val="af7"/>
              <w:spacing w:before="0" w:after="0"/>
              <w:jc w:val="left"/>
              <w:rPr>
                <w:b/>
                <w:color w:val="000000" w:themeColor="text1"/>
                <w:szCs w:val="20"/>
              </w:rPr>
            </w:pPr>
            <w:r w:rsidRPr="00677D01">
              <w:rPr>
                <w:color w:val="000000" w:themeColor="text1"/>
                <w:szCs w:val="20"/>
              </w:rPr>
              <w:t>Нарахування за рік</w:t>
            </w:r>
          </w:p>
        </w:tc>
        <w:tc>
          <w:tcPr>
            <w:tcW w:w="1510" w:type="pct"/>
            <w:tcBorders>
              <w:top w:val="single" w:sz="4" w:space="0" w:color="auto"/>
              <w:left w:val="nil"/>
              <w:bottom w:val="single" w:sz="4" w:space="0" w:color="auto"/>
              <w:right w:val="nil"/>
            </w:tcBorders>
            <w:vAlign w:val="center"/>
          </w:tcPr>
          <w:p w14:paraId="12EACAB4" w14:textId="23A2A4B6" w:rsidR="00CF078D" w:rsidRPr="00677D01" w:rsidRDefault="00677D01" w:rsidP="00A600F3">
            <w:pPr>
              <w:jc w:val="right"/>
              <w:rPr>
                <w:b/>
                <w:bCs/>
                <w:color w:val="000000" w:themeColor="text1"/>
                <w:szCs w:val="20"/>
              </w:rPr>
            </w:pPr>
            <w:r w:rsidRPr="00677D01">
              <w:rPr>
                <w:color w:val="000000" w:themeColor="text1"/>
                <w:szCs w:val="20"/>
              </w:rPr>
              <w:t>25 973</w:t>
            </w:r>
            <w:r w:rsidR="00CF078D" w:rsidRPr="00677D01">
              <w:rPr>
                <w:color w:val="000000" w:themeColor="text1"/>
                <w:szCs w:val="20"/>
              </w:rPr>
              <w:t xml:space="preserve"> </w:t>
            </w:r>
          </w:p>
        </w:tc>
        <w:tc>
          <w:tcPr>
            <w:tcW w:w="962" w:type="pct"/>
            <w:tcBorders>
              <w:top w:val="single" w:sz="4" w:space="0" w:color="auto"/>
              <w:left w:val="nil"/>
              <w:bottom w:val="single" w:sz="4" w:space="0" w:color="auto"/>
              <w:right w:val="nil"/>
            </w:tcBorders>
            <w:vAlign w:val="center"/>
          </w:tcPr>
          <w:p w14:paraId="546F1888" w14:textId="5B36464A" w:rsidR="00CF078D" w:rsidRPr="00677D01" w:rsidRDefault="00677D01" w:rsidP="00A600F3">
            <w:pPr>
              <w:jc w:val="right"/>
              <w:rPr>
                <w:b/>
                <w:bCs/>
                <w:color w:val="000000" w:themeColor="text1"/>
                <w:szCs w:val="20"/>
              </w:rPr>
            </w:pPr>
            <w:r w:rsidRPr="00677D01">
              <w:rPr>
                <w:b/>
                <w:bCs/>
                <w:color w:val="000000" w:themeColor="text1"/>
                <w:szCs w:val="20"/>
              </w:rPr>
              <w:t>245 284</w:t>
            </w:r>
          </w:p>
        </w:tc>
        <w:tc>
          <w:tcPr>
            <w:tcW w:w="962" w:type="pct"/>
            <w:tcBorders>
              <w:top w:val="single" w:sz="4" w:space="0" w:color="auto"/>
              <w:left w:val="nil"/>
              <w:bottom w:val="single" w:sz="4" w:space="0" w:color="auto"/>
              <w:right w:val="nil"/>
            </w:tcBorders>
            <w:vAlign w:val="center"/>
          </w:tcPr>
          <w:p w14:paraId="450CFBA3" w14:textId="5F38726A" w:rsidR="00CF078D" w:rsidRPr="00677D01" w:rsidRDefault="00677D01" w:rsidP="00A600F3">
            <w:pPr>
              <w:jc w:val="right"/>
              <w:rPr>
                <w:b/>
                <w:bCs/>
                <w:color w:val="000000" w:themeColor="text1"/>
                <w:szCs w:val="20"/>
              </w:rPr>
            </w:pPr>
            <w:r w:rsidRPr="00677D01">
              <w:rPr>
                <w:b/>
                <w:bCs/>
                <w:color w:val="000000" w:themeColor="text1"/>
                <w:szCs w:val="20"/>
              </w:rPr>
              <w:t>271 257</w:t>
            </w:r>
            <w:r w:rsidR="00CF078D" w:rsidRPr="00677D01">
              <w:rPr>
                <w:b/>
                <w:bCs/>
                <w:color w:val="000000" w:themeColor="text1"/>
                <w:szCs w:val="20"/>
              </w:rPr>
              <w:t xml:space="preserve"> </w:t>
            </w:r>
          </w:p>
        </w:tc>
      </w:tr>
      <w:tr w:rsidR="00E24E29" w:rsidRPr="004C31C1" w14:paraId="0027449E" w14:textId="77777777" w:rsidTr="00CF078D">
        <w:trPr>
          <w:trHeight w:val="255"/>
        </w:trPr>
        <w:tc>
          <w:tcPr>
            <w:tcW w:w="1566" w:type="pct"/>
            <w:tcBorders>
              <w:top w:val="single" w:sz="4" w:space="0" w:color="auto"/>
              <w:left w:val="nil"/>
              <w:bottom w:val="single" w:sz="4" w:space="0" w:color="auto"/>
              <w:right w:val="nil"/>
            </w:tcBorders>
            <w:noWrap/>
            <w:vAlign w:val="center"/>
          </w:tcPr>
          <w:p w14:paraId="6B69478C" w14:textId="723DA8BD" w:rsidR="00CF078D" w:rsidRPr="004C31C1" w:rsidRDefault="00CF078D" w:rsidP="00A600F3">
            <w:pPr>
              <w:pStyle w:val="af7"/>
              <w:spacing w:before="0" w:after="0"/>
              <w:jc w:val="left"/>
              <w:rPr>
                <w:b/>
                <w:color w:val="000000" w:themeColor="text1"/>
                <w:szCs w:val="20"/>
              </w:rPr>
            </w:pPr>
            <w:r w:rsidRPr="004C31C1">
              <w:rPr>
                <w:color w:val="000000" w:themeColor="text1"/>
                <w:szCs w:val="20"/>
              </w:rPr>
              <w:t>Використано протягом року</w:t>
            </w:r>
          </w:p>
        </w:tc>
        <w:tc>
          <w:tcPr>
            <w:tcW w:w="1510" w:type="pct"/>
            <w:tcBorders>
              <w:top w:val="single" w:sz="4" w:space="0" w:color="auto"/>
              <w:left w:val="nil"/>
              <w:bottom w:val="single" w:sz="4" w:space="0" w:color="auto"/>
              <w:right w:val="nil"/>
            </w:tcBorders>
            <w:vAlign w:val="center"/>
          </w:tcPr>
          <w:p w14:paraId="40EAC65D" w14:textId="0F3725E3" w:rsidR="00CF078D" w:rsidRPr="004C31C1" w:rsidRDefault="00CF078D" w:rsidP="00677D01">
            <w:pPr>
              <w:jc w:val="right"/>
              <w:rPr>
                <w:b/>
                <w:bCs/>
                <w:color w:val="000000" w:themeColor="text1"/>
                <w:szCs w:val="20"/>
              </w:rPr>
            </w:pPr>
            <w:r w:rsidRPr="004C31C1">
              <w:rPr>
                <w:color w:val="000000" w:themeColor="text1"/>
                <w:szCs w:val="20"/>
              </w:rPr>
              <w:t xml:space="preserve">(27 </w:t>
            </w:r>
            <w:r w:rsidR="00677D01" w:rsidRPr="004C31C1">
              <w:rPr>
                <w:color w:val="000000" w:themeColor="text1"/>
                <w:szCs w:val="20"/>
              </w:rPr>
              <w:t>589</w:t>
            </w:r>
            <w:r w:rsidRPr="004C31C1">
              <w:rPr>
                <w:color w:val="000000" w:themeColor="text1"/>
                <w:szCs w:val="20"/>
              </w:rPr>
              <w:t>)</w:t>
            </w:r>
          </w:p>
        </w:tc>
        <w:tc>
          <w:tcPr>
            <w:tcW w:w="962" w:type="pct"/>
            <w:tcBorders>
              <w:top w:val="single" w:sz="4" w:space="0" w:color="auto"/>
              <w:left w:val="nil"/>
              <w:bottom w:val="single" w:sz="4" w:space="0" w:color="auto"/>
              <w:right w:val="nil"/>
            </w:tcBorders>
            <w:vAlign w:val="center"/>
          </w:tcPr>
          <w:p w14:paraId="09C8A50C" w14:textId="73E0FCC1" w:rsidR="00CF078D" w:rsidRPr="004C31C1" w:rsidRDefault="00677D01" w:rsidP="00677D01">
            <w:pPr>
              <w:jc w:val="right"/>
              <w:rPr>
                <w:b/>
                <w:bCs/>
                <w:color w:val="000000" w:themeColor="text1"/>
                <w:szCs w:val="20"/>
              </w:rPr>
            </w:pPr>
            <w:r w:rsidRPr="004C31C1">
              <w:rPr>
                <w:color w:val="000000" w:themeColor="text1"/>
                <w:szCs w:val="20"/>
              </w:rPr>
              <w:t>(245 273</w:t>
            </w:r>
            <w:r w:rsidR="00CF078D" w:rsidRPr="004C31C1">
              <w:rPr>
                <w:color w:val="000000" w:themeColor="text1"/>
                <w:szCs w:val="20"/>
              </w:rPr>
              <w:t>)</w:t>
            </w:r>
          </w:p>
        </w:tc>
        <w:tc>
          <w:tcPr>
            <w:tcW w:w="962" w:type="pct"/>
            <w:tcBorders>
              <w:top w:val="single" w:sz="4" w:space="0" w:color="auto"/>
              <w:left w:val="nil"/>
              <w:bottom w:val="single" w:sz="4" w:space="0" w:color="auto"/>
              <w:right w:val="nil"/>
            </w:tcBorders>
            <w:vAlign w:val="center"/>
          </w:tcPr>
          <w:p w14:paraId="717066DE" w14:textId="1E1F1B5D" w:rsidR="00CF078D" w:rsidRPr="004C31C1" w:rsidRDefault="00CF078D" w:rsidP="00A600F3">
            <w:pPr>
              <w:jc w:val="right"/>
              <w:rPr>
                <w:b/>
                <w:bCs/>
                <w:color w:val="000000" w:themeColor="text1"/>
                <w:szCs w:val="20"/>
              </w:rPr>
            </w:pPr>
            <w:r w:rsidRPr="004C31C1">
              <w:rPr>
                <w:b/>
                <w:bCs/>
                <w:color w:val="000000" w:themeColor="text1"/>
                <w:szCs w:val="20"/>
              </w:rPr>
              <w:t>(</w:t>
            </w:r>
            <w:r w:rsidR="00677D01" w:rsidRPr="004C31C1">
              <w:rPr>
                <w:b/>
                <w:bCs/>
                <w:color w:val="000000" w:themeColor="text1"/>
                <w:szCs w:val="20"/>
              </w:rPr>
              <w:t>272 862</w:t>
            </w:r>
            <w:r w:rsidRPr="004C31C1">
              <w:rPr>
                <w:b/>
                <w:bCs/>
                <w:color w:val="000000" w:themeColor="text1"/>
                <w:szCs w:val="20"/>
              </w:rPr>
              <w:t>)</w:t>
            </w:r>
          </w:p>
        </w:tc>
      </w:tr>
      <w:tr w:rsidR="00E24E29" w:rsidRPr="004C31C1" w14:paraId="4EBFCF60" w14:textId="77777777" w:rsidTr="00CF078D">
        <w:trPr>
          <w:trHeight w:val="255"/>
        </w:trPr>
        <w:tc>
          <w:tcPr>
            <w:tcW w:w="1566" w:type="pct"/>
            <w:tcBorders>
              <w:top w:val="single" w:sz="4" w:space="0" w:color="auto"/>
              <w:left w:val="nil"/>
              <w:right w:val="nil"/>
            </w:tcBorders>
            <w:noWrap/>
            <w:vAlign w:val="center"/>
          </w:tcPr>
          <w:p w14:paraId="665795A2" w14:textId="5FF8BAE2" w:rsidR="00CF078D" w:rsidRPr="004C31C1" w:rsidRDefault="00CF078D" w:rsidP="000F401C">
            <w:pPr>
              <w:pStyle w:val="af7"/>
              <w:spacing w:before="0" w:after="0"/>
              <w:jc w:val="left"/>
              <w:rPr>
                <w:color w:val="000000" w:themeColor="text1"/>
                <w:szCs w:val="20"/>
              </w:rPr>
            </w:pPr>
            <w:r w:rsidRPr="004C31C1">
              <w:rPr>
                <w:b/>
                <w:color w:val="000000" w:themeColor="text1"/>
                <w:szCs w:val="20"/>
              </w:rPr>
              <w:t>Станом на 31.12.20</w:t>
            </w:r>
            <w:r w:rsidR="000F401C" w:rsidRPr="004C31C1">
              <w:rPr>
                <w:b/>
                <w:color w:val="000000" w:themeColor="text1"/>
                <w:szCs w:val="20"/>
              </w:rPr>
              <w:t>20</w:t>
            </w:r>
          </w:p>
        </w:tc>
        <w:tc>
          <w:tcPr>
            <w:tcW w:w="1510" w:type="pct"/>
            <w:tcBorders>
              <w:top w:val="single" w:sz="4" w:space="0" w:color="auto"/>
              <w:left w:val="nil"/>
              <w:right w:val="nil"/>
            </w:tcBorders>
            <w:vAlign w:val="center"/>
          </w:tcPr>
          <w:p w14:paraId="49145A91" w14:textId="1DFD3CA2" w:rsidR="00CF078D" w:rsidRPr="004C31C1" w:rsidRDefault="00677D01" w:rsidP="00A600F3">
            <w:pPr>
              <w:jc w:val="right"/>
              <w:rPr>
                <w:b/>
                <w:color w:val="000000" w:themeColor="text1"/>
                <w:szCs w:val="20"/>
              </w:rPr>
            </w:pPr>
            <w:r w:rsidRPr="004C31C1">
              <w:rPr>
                <w:color w:val="000000" w:themeColor="text1"/>
                <w:szCs w:val="20"/>
              </w:rPr>
              <w:t>25 481</w:t>
            </w:r>
            <w:r w:rsidR="00CF078D" w:rsidRPr="004C31C1">
              <w:rPr>
                <w:color w:val="000000" w:themeColor="text1"/>
                <w:szCs w:val="20"/>
              </w:rPr>
              <w:t xml:space="preserve"> </w:t>
            </w:r>
          </w:p>
        </w:tc>
        <w:tc>
          <w:tcPr>
            <w:tcW w:w="962" w:type="pct"/>
            <w:tcBorders>
              <w:top w:val="single" w:sz="4" w:space="0" w:color="auto"/>
              <w:left w:val="nil"/>
              <w:right w:val="nil"/>
            </w:tcBorders>
            <w:vAlign w:val="center"/>
          </w:tcPr>
          <w:p w14:paraId="2CE34A0A" w14:textId="2F4E6A65" w:rsidR="00CF078D" w:rsidRPr="004C31C1" w:rsidRDefault="00677D01" w:rsidP="00A600F3">
            <w:pPr>
              <w:jc w:val="right"/>
              <w:rPr>
                <w:b/>
                <w:color w:val="000000" w:themeColor="text1"/>
                <w:szCs w:val="20"/>
              </w:rPr>
            </w:pPr>
            <w:r w:rsidRPr="004C31C1">
              <w:rPr>
                <w:color w:val="000000" w:themeColor="text1"/>
                <w:szCs w:val="20"/>
              </w:rPr>
              <w:t>11</w:t>
            </w:r>
            <w:r w:rsidR="00CF078D" w:rsidRPr="004C31C1">
              <w:rPr>
                <w:color w:val="000000" w:themeColor="text1"/>
                <w:szCs w:val="20"/>
              </w:rPr>
              <w:t xml:space="preserve">  </w:t>
            </w:r>
          </w:p>
        </w:tc>
        <w:tc>
          <w:tcPr>
            <w:tcW w:w="962" w:type="pct"/>
            <w:tcBorders>
              <w:top w:val="single" w:sz="4" w:space="0" w:color="auto"/>
              <w:left w:val="nil"/>
              <w:right w:val="nil"/>
            </w:tcBorders>
            <w:vAlign w:val="center"/>
          </w:tcPr>
          <w:p w14:paraId="269C218C" w14:textId="2D3488AF" w:rsidR="00CF078D" w:rsidRPr="004C31C1" w:rsidRDefault="00677D01" w:rsidP="00A600F3">
            <w:pPr>
              <w:jc w:val="right"/>
              <w:rPr>
                <w:b/>
                <w:bCs/>
                <w:color w:val="000000" w:themeColor="text1"/>
                <w:szCs w:val="20"/>
              </w:rPr>
            </w:pPr>
            <w:r w:rsidRPr="004C31C1">
              <w:rPr>
                <w:b/>
                <w:bCs/>
                <w:color w:val="000000" w:themeColor="text1"/>
                <w:szCs w:val="20"/>
              </w:rPr>
              <w:t>25 492</w:t>
            </w:r>
            <w:r w:rsidR="00CF078D" w:rsidRPr="004C31C1">
              <w:rPr>
                <w:b/>
                <w:bCs/>
                <w:color w:val="000000" w:themeColor="text1"/>
                <w:szCs w:val="20"/>
              </w:rPr>
              <w:t xml:space="preserve"> </w:t>
            </w:r>
          </w:p>
        </w:tc>
      </w:tr>
    </w:tbl>
    <w:p w14:paraId="39E7F723" w14:textId="406333BD" w:rsidR="00920BA5" w:rsidRPr="004C31C1" w:rsidRDefault="00462939" w:rsidP="00A600F3">
      <w:pPr>
        <w:pStyle w:val="1"/>
        <w:rPr>
          <w:color w:val="000000" w:themeColor="text1"/>
          <w:szCs w:val="20"/>
        </w:rPr>
      </w:pPr>
      <w:bookmarkStart w:id="127" w:name="_Toc68253973"/>
      <w:r w:rsidRPr="004C31C1">
        <w:rPr>
          <w:color w:val="000000" w:themeColor="text1"/>
          <w:szCs w:val="20"/>
        </w:rPr>
        <w:t>Торгівельна кредиторська заборгованість та інші зобов'язання</w:t>
      </w:r>
      <w:bookmarkEnd w:id="124"/>
      <w:bookmarkEnd w:id="125"/>
      <w:bookmarkEnd w:id="127"/>
    </w:p>
    <w:tbl>
      <w:tblPr>
        <w:tblW w:w="5000" w:type="pct"/>
        <w:tblLook w:val="00A0" w:firstRow="1" w:lastRow="0" w:firstColumn="1" w:lastColumn="0" w:noHBand="0" w:noVBand="0"/>
      </w:tblPr>
      <w:tblGrid>
        <w:gridCol w:w="5515"/>
        <w:gridCol w:w="2060"/>
        <w:gridCol w:w="2062"/>
      </w:tblGrid>
      <w:tr w:rsidR="00677D01" w:rsidRPr="004C31C1" w14:paraId="6BA7ADCC" w14:textId="77777777" w:rsidTr="00DF2FF5">
        <w:trPr>
          <w:trHeight w:val="510"/>
          <w:tblHeader/>
        </w:trPr>
        <w:tc>
          <w:tcPr>
            <w:tcW w:w="2861" w:type="pct"/>
            <w:tcBorders>
              <w:left w:val="nil"/>
              <w:bottom w:val="single" w:sz="4" w:space="0" w:color="auto"/>
              <w:right w:val="nil"/>
            </w:tcBorders>
            <w:shd w:val="clear" w:color="auto" w:fill="FFFFFF"/>
            <w:vAlign w:val="center"/>
          </w:tcPr>
          <w:p w14:paraId="1300D9A0" w14:textId="37725891" w:rsidR="00677D01" w:rsidRPr="004C31C1" w:rsidRDefault="00677D01" w:rsidP="00677D01">
            <w:pPr>
              <w:jc w:val="left"/>
              <w:rPr>
                <w:b/>
                <w:bCs/>
                <w:color w:val="000000" w:themeColor="text1"/>
                <w:szCs w:val="20"/>
              </w:rPr>
            </w:pPr>
            <w:r w:rsidRPr="004C31C1">
              <w:rPr>
                <w:b/>
                <w:bCs/>
                <w:color w:val="000000" w:themeColor="text1"/>
                <w:szCs w:val="20"/>
              </w:rPr>
              <w:t>20.1 Торгівельна кредиторська заборгованість та інші зобов’язання у Звіті про фінансовий стан</w:t>
            </w:r>
          </w:p>
        </w:tc>
        <w:tc>
          <w:tcPr>
            <w:tcW w:w="1069" w:type="pct"/>
            <w:tcBorders>
              <w:left w:val="nil"/>
              <w:bottom w:val="single" w:sz="4" w:space="0" w:color="auto"/>
              <w:right w:val="nil"/>
            </w:tcBorders>
            <w:shd w:val="clear" w:color="auto" w:fill="FFFFFF"/>
            <w:vAlign w:val="center"/>
          </w:tcPr>
          <w:p w14:paraId="22A995C9" w14:textId="5A3FB7E3" w:rsidR="00677D01" w:rsidRPr="004C31C1" w:rsidRDefault="00677D01" w:rsidP="00677D01">
            <w:pPr>
              <w:jc w:val="right"/>
              <w:rPr>
                <w:b/>
                <w:color w:val="000000" w:themeColor="text1"/>
                <w:szCs w:val="20"/>
              </w:rPr>
            </w:pPr>
            <w:r w:rsidRPr="004C31C1">
              <w:rPr>
                <w:b/>
                <w:color w:val="000000" w:themeColor="text1"/>
                <w:szCs w:val="20"/>
              </w:rPr>
              <w:t>31.12.2020</w:t>
            </w:r>
          </w:p>
        </w:tc>
        <w:tc>
          <w:tcPr>
            <w:tcW w:w="1070" w:type="pct"/>
            <w:tcBorders>
              <w:left w:val="nil"/>
              <w:bottom w:val="single" w:sz="4" w:space="0" w:color="auto"/>
              <w:right w:val="nil"/>
            </w:tcBorders>
            <w:shd w:val="clear" w:color="auto" w:fill="FFFFFF"/>
            <w:noWrap/>
            <w:vAlign w:val="center"/>
          </w:tcPr>
          <w:p w14:paraId="60236C46" w14:textId="77777777" w:rsidR="00677D01" w:rsidRPr="004C31C1" w:rsidRDefault="00677D01" w:rsidP="00677D01">
            <w:pPr>
              <w:jc w:val="right"/>
              <w:rPr>
                <w:b/>
                <w:color w:val="000000" w:themeColor="text1"/>
                <w:szCs w:val="20"/>
              </w:rPr>
            </w:pPr>
            <w:r w:rsidRPr="004C31C1">
              <w:rPr>
                <w:b/>
                <w:color w:val="000000" w:themeColor="text1"/>
                <w:szCs w:val="20"/>
              </w:rPr>
              <w:t>31.12.2019</w:t>
            </w:r>
          </w:p>
          <w:p w14:paraId="5EE3FE82" w14:textId="49FD960A" w:rsidR="00677D01" w:rsidRPr="004C31C1" w:rsidRDefault="00677D01" w:rsidP="00677D01">
            <w:pPr>
              <w:jc w:val="right"/>
              <w:rPr>
                <w:b/>
                <w:color w:val="000000" w:themeColor="text1"/>
                <w:szCs w:val="20"/>
              </w:rPr>
            </w:pPr>
            <w:r w:rsidRPr="004C31C1">
              <w:rPr>
                <w:b/>
                <w:color w:val="000000" w:themeColor="text1"/>
                <w:szCs w:val="20"/>
              </w:rPr>
              <w:t>(перераховано)</w:t>
            </w:r>
          </w:p>
        </w:tc>
      </w:tr>
      <w:tr w:rsidR="004C31C1" w:rsidRPr="004C31C1" w14:paraId="6F4010D3" w14:textId="77777777" w:rsidTr="00E24E29">
        <w:trPr>
          <w:trHeight w:val="255"/>
        </w:trPr>
        <w:tc>
          <w:tcPr>
            <w:tcW w:w="2861" w:type="pct"/>
            <w:tcBorders>
              <w:top w:val="nil"/>
              <w:left w:val="nil"/>
              <w:bottom w:val="nil"/>
              <w:right w:val="nil"/>
            </w:tcBorders>
            <w:shd w:val="clear" w:color="auto" w:fill="FFFFFF"/>
            <w:vAlign w:val="center"/>
          </w:tcPr>
          <w:p w14:paraId="1AC34C85" w14:textId="77777777" w:rsidR="004C31C1" w:rsidRPr="004C31C1" w:rsidRDefault="004C31C1" w:rsidP="004C31C1">
            <w:pPr>
              <w:pStyle w:val="af7"/>
              <w:spacing w:before="0" w:after="0"/>
              <w:jc w:val="left"/>
              <w:rPr>
                <w:color w:val="000000" w:themeColor="text1"/>
                <w:szCs w:val="20"/>
              </w:rPr>
            </w:pPr>
            <w:r w:rsidRPr="004C31C1">
              <w:rPr>
                <w:color w:val="000000" w:themeColor="text1"/>
                <w:szCs w:val="20"/>
              </w:rPr>
              <w:t>Торгівельна кредиторська заборгованість</w:t>
            </w:r>
          </w:p>
        </w:tc>
        <w:tc>
          <w:tcPr>
            <w:tcW w:w="1069" w:type="pct"/>
            <w:tcBorders>
              <w:top w:val="nil"/>
              <w:left w:val="nil"/>
              <w:bottom w:val="nil"/>
              <w:right w:val="nil"/>
            </w:tcBorders>
            <w:shd w:val="clear" w:color="auto" w:fill="FFFFFF"/>
            <w:vAlign w:val="center"/>
          </w:tcPr>
          <w:p w14:paraId="515B42E3" w14:textId="4BB0A0B9" w:rsidR="004C31C1" w:rsidRPr="004C31C1" w:rsidRDefault="004C31C1" w:rsidP="004C31C1">
            <w:pPr>
              <w:jc w:val="right"/>
              <w:rPr>
                <w:color w:val="000000" w:themeColor="text1"/>
                <w:szCs w:val="20"/>
                <w:lang w:val="ru-RU"/>
              </w:rPr>
            </w:pPr>
            <w:r w:rsidRPr="004C31C1">
              <w:rPr>
                <w:color w:val="000000" w:themeColor="text1"/>
                <w:szCs w:val="20"/>
              </w:rPr>
              <w:t xml:space="preserve">125 350 </w:t>
            </w:r>
          </w:p>
        </w:tc>
        <w:tc>
          <w:tcPr>
            <w:tcW w:w="1070" w:type="pct"/>
            <w:tcBorders>
              <w:top w:val="nil"/>
              <w:left w:val="nil"/>
              <w:bottom w:val="nil"/>
              <w:right w:val="nil"/>
            </w:tcBorders>
            <w:shd w:val="clear" w:color="auto" w:fill="FFFFFF"/>
            <w:vAlign w:val="center"/>
          </w:tcPr>
          <w:p w14:paraId="3521DDA0" w14:textId="65BC31C9" w:rsidR="004C31C1" w:rsidRPr="004C31C1" w:rsidRDefault="004C31C1" w:rsidP="00CB7821">
            <w:pPr>
              <w:jc w:val="right"/>
              <w:rPr>
                <w:color w:val="000000" w:themeColor="text1"/>
                <w:szCs w:val="20"/>
              </w:rPr>
            </w:pPr>
            <w:r w:rsidRPr="004C31C1">
              <w:rPr>
                <w:color w:val="000000" w:themeColor="text1"/>
                <w:szCs w:val="20"/>
              </w:rPr>
              <w:t xml:space="preserve">107 </w:t>
            </w:r>
            <w:r w:rsidR="00CB7821">
              <w:rPr>
                <w:color w:val="000000" w:themeColor="text1"/>
                <w:szCs w:val="20"/>
              </w:rPr>
              <w:t>687</w:t>
            </w:r>
            <w:r w:rsidRPr="004C31C1">
              <w:rPr>
                <w:color w:val="000000" w:themeColor="text1"/>
                <w:szCs w:val="20"/>
              </w:rPr>
              <w:t xml:space="preserve"> </w:t>
            </w:r>
          </w:p>
        </w:tc>
      </w:tr>
      <w:tr w:rsidR="004C31C1" w:rsidRPr="004C31C1" w14:paraId="4FEB0B92" w14:textId="77777777" w:rsidTr="00E24E29">
        <w:trPr>
          <w:trHeight w:val="255"/>
        </w:trPr>
        <w:tc>
          <w:tcPr>
            <w:tcW w:w="2861" w:type="pct"/>
            <w:tcBorders>
              <w:top w:val="nil"/>
              <w:left w:val="nil"/>
              <w:right w:val="nil"/>
            </w:tcBorders>
            <w:shd w:val="clear" w:color="auto" w:fill="FFFFFF"/>
            <w:vAlign w:val="center"/>
          </w:tcPr>
          <w:p w14:paraId="07D2565B" w14:textId="77777777" w:rsidR="004C31C1" w:rsidRPr="004C31C1" w:rsidRDefault="004C31C1" w:rsidP="004C31C1">
            <w:pPr>
              <w:pStyle w:val="af7"/>
              <w:spacing w:before="0" w:after="0"/>
              <w:jc w:val="left"/>
              <w:rPr>
                <w:color w:val="000000" w:themeColor="text1"/>
                <w:szCs w:val="20"/>
              </w:rPr>
            </w:pPr>
            <w:r w:rsidRPr="004C31C1">
              <w:rPr>
                <w:color w:val="000000" w:themeColor="text1"/>
                <w:szCs w:val="20"/>
              </w:rPr>
              <w:t>Аванси отримані</w:t>
            </w:r>
          </w:p>
        </w:tc>
        <w:tc>
          <w:tcPr>
            <w:tcW w:w="1069" w:type="pct"/>
            <w:tcBorders>
              <w:top w:val="nil"/>
              <w:left w:val="nil"/>
              <w:right w:val="nil"/>
            </w:tcBorders>
            <w:shd w:val="clear" w:color="auto" w:fill="FFFFFF"/>
            <w:vAlign w:val="center"/>
          </w:tcPr>
          <w:p w14:paraId="2B47A386" w14:textId="0EF26058" w:rsidR="004C31C1" w:rsidRPr="004C31C1" w:rsidRDefault="004C31C1" w:rsidP="004C31C1">
            <w:pPr>
              <w:jc w:val="right"/>
              <w:rPr>
                <w:color w:val="000000" w:themeColor="text1"/>
                <w:szCs w:val="20"/>
                <w:lang w:val="ru-RU"/>
              </w:rPr>
            </w:pPr>
            <w:r w:rsidRPr="004C31C1">
              <w:rPr>
                <w:color w:val="000000" w:themeColor="text1"/>
                <w:szCs w:val="20"/>
              </w:rPr>
              <w:t xml:space="preserve">135 </w:t>
            </w:r>
          </w:p>
        </w:tc>
        <w:tc>
          <w:tcPr>
            <w:tcW w:w="1070" w:type="pct"/>
            <w:tcBorders>
              <w:top w:val="nil"/>
              <w:left w:val="nil"/>
              <w:right w:val="nil"/>
            </w:tcBorders>
            <w:shd w:val="clear" w:color="auto" w:fill="FFFFFF"/>
            <w:vAlign w:val="center"/>
          </w:tcPr>
          <w:p w14:paraId="76590393" w14:textId="17D39287" w:rsidR="004C31C1" w:rsidRPr="004C31C1" w:rsidRDefault="004C31C1" w:rsidP="004C31C1">
            <w:pPr>
              <w:jc w:val="right"/>
              <w:rPr>
                <w:color w:val="000000" w:themeColor="text1"/>
                <w:szCs w:val="20"/>
              </w:rPr>
            </w:pPr>
            <w:r w:rsidRPr="004C31C1">
              <w:rPr>
                <w:color w:val="000000" w:themeColor="text1"/>
                <w:szCs w:val="20"/>
              </w:rPr>
              <w:t xml:space="preserve">135 </w:t>
            </w:r>
          </w:p>
        </w:tc>
      </w:tr>
      <w:tr w:rsidR="004C31C1" w:rsidRPr="004C31C1" w14:paraId="112F48B9" w14:textId="77777777" w:rsidTr="00E24E29">
        <w:trPr>
          <w:trHeight w:val="255"/>
        </w:trPr>
        <w:tc>
          <w:tcPr>
            <w:tcW w:w="2861" w:type="pct"/>
            <w:tcBorders>
              <w:top w:val="nil"/>
              <w:left w:val="nil"/>
              <w:bottom w:val="single" w:sz="4" w:space="0" w:color="auto"/>
              <w:right w:val="nil"/>
            </w:tcBorders>
            <w:shd w:val="clear" w:color="auto" w:fill="FFFFFF"/>
            <w:vAlign w:val="center"/>
          </w:tcPr>
          <w:p w14:paraId="0727D2E8" w14:textId="77777777" w:rsidR="004C31C1" w:rsidRPr="004C31C1" w:rsidRDefault="004C31C1" w:rsidP="004C31C1">
            <w:pPr>
              <w:pStyle w:val="af7"/>
              <w:spacing w:before="0" w:after="0"/>
              <w:jc w:val="left"/>
              <w:rPr>
                <w:color w:val="000000" w:themeColor="text1"/>
                <w:szCs w:val="20"/>
              </w:rPr>
            </w:pPr>
            <w:r w:rsidRPr="004C31C1">
              <w:rPr>
                <w:color w:val="000000" w:themeColor="text1"/>
                <w:szCs w:val="20"/>
              </w:rPr>
              <w:t>Інші поточні зобов’язання</w:t>
            </w:r>
          </w:p>
        </w:tc>
        <w:tc>
          <w:tcPr>
            <w:tcW w:w="1069" w:type="pct"/>
            <w:tcBorders>
              <w:top w:val="nil"/>
              <w:left w:val="nil"/>
              <w:bottom w:val="single" w:sz="4" w:space="0" w:color="auto"/>
              <w:right w:val="nil"/>
            </w:tcBorders>
            <w:shd w:val="clear" w:color="auto" w:fill="FFFFFF"/>
            <w:vAlign w:val="center"/>
          </w:tcPr>
          <w:p w14:paraId="1DD2D338" w14:textId="2F48DD12" w:rsidR="004C31C1" w:rsidRPr="004C31C1" w:rsidRDefault="004C31C1" w:rsidP="004C31C1">
            <w:pPr>
              <w:jc w:val="right"/>
              <w:rPr>
                <w:color w:val="000000" w:themeColor="text1"/>
                <w:szCs w:val="20"/>
                <w:lang w:val="ru-RU"/>
              </w:rPr>
            </w:pPr>
            <w:r w:rsidRPr="004C31C1">
              <w:rPr>
                <w:color w:val="000000" w:themeColor="text1"/>
                <w:szCs w:val="20"/>
              </w:rPr>
              <w:t xml:space="preserve">950 654 </w:t>
            </w:r>
          </w:p>
        </w:tc>
        <w:tc>
          <w:tcPr>
            <w:tcW w:w="1070" w:type="pct"/>
            <w:tcBorders>
              <w:top w:val="nil"/>
              <w:left w:val="nil"/>
              <w:bottom w:val="single" w:sz="4" w:space="0" w:color="auto"/>
              <w:right w:val="nil"/>
            </w:tcBorders>
            <w:shd w:val="clear" w:color="auto" w:fill="FFFFFF"/>
            <w:vAlign w:val="center"/>
          </w:tcPr>
          <w:p w14:paraId="3BFDC304" w14:textId="6CF598CC" w:rsidR="004C31C1" w:rsidRPr="004C31C1" w:rsidRDefault="004C31C1" w:rsidP="004C31C1">
            <w:pPr>
              <w:jc w:val="right"/>
              <w:rPr>
                <w:color w:val="000000" w:themeColor="text1"/>
                <w:szCs w:val="20"/>
              </w:rPr>
            </w:pPr>
            <w:r w:rsidRPr="004C31C1">
              <w:rPr>
                <w:color w:val="000000" w:themeColor="text1"/>
                <w:szCs w:val="20"/>
              </w:rPr>
              <w:t xml:space="preserve">825 881 </w:t>
            </w:r>
          </w:p>
        </w:tc>
      </w:tr>
      <w:tr w:rsidR="004C31C1" w:rsidRPr="004C31C1" w14:paraId="1A82782F" w14:textId="77777777" w:rsidTr="00E24E29">
        <w:trPr>
          <w:trHeight w:val="255"/>
        </w:trPr>
        <w:tc>
          <w:tcPr>
            <w:tcW w:w="2861" w:type="pct"/>
            <w:tcBorders>
              <w:top w:val="single" w:sz="4" w:space="0" w:color="auto"/>
              <w:left w:val="nil"/>
              <w:right w:val="nil"/>
            </w:tcBorders>
            <w:shd w:val="clear" w:color="auto" w:fill="FFFFFF"/>
            <w:vAlign w:val="center"/>
          </w:tcPr>
          <w:p w14:paraId="5E0593A2" w14:textId="77777777" w:rsidR="004C31C1" w:rsidRPr="004C31C1" w:rsidRDefault="004C31C1" w:rsidP="004C31C1">
            <w:pPr>
              <w:jc w:val="left"/>
              <w:rPr>
                <w:color w:val="000000" w:themeColor="text1"/>
                <w:szCs w:val="20"/>
                <w:lang w:val="ru-RU"/>
              </w:rPr>
            </w:pPr>
            <w:r w:rsidRPr="004C31C1">
              <w:rPr>
                <w:b/>
                <w:bCs/>
                <w:color w:val="000000" w:themeColor="text1"/>
                <w:szCs w:val="20"/>
              </w:rPr>
              <w:t>Разом:</w:t>
            </w:r>
          </w:p>
        </w:tc>
        <w:tc>
          <w:tcPr>
            <w:tcW w:w="1069" w:type="pct"/>
            <w:tcBorders>
              <w:top w:val="single" w:sz="4" w:space="0" w:color="auto"/>
              <w:left w:val="nil"/>
              <w:right w:val="nil"/>
            </w:tcBorders>
            <w:shd w:val="clear" w:color="auto" w:fill="FFFFFF"/>
            <w:vAlign w:val="center"/>
          </w:tcPr>
          <w:p w14:paraId="16FD910F" w14:textId="238765A6" w:rsidR="004C31C1" w:rsidRPr="004C31C1" w:rsidRDefault="004C31C1" w:rsidP="004C31C1">
            <w:pPr>
              <w:jc w:val="right"/>
              <w:rPr>
                <w:b/>
                <w:bCs/>
                <w:color w:val="000000" w:themeColor="text1"/>
                <w:szCs w:val="20"/>
                <w:lang w:val="ru-RU"/>
              </w:rPr>
            </w:pPr>
            <w:r w:rsidRPr="004C31C1">
              <w:rPr>
                <w:b/>
                <w:bCs/>
                <w:color w:val="000000" w:themeColor="text1"/>
                <w:szCs w:val="20"/>
              </w:rPr>
              <w:t xml:space="preserve">1 076 139 </w:t>
            </w:r>
          </w:p>
        </w:tc>
        <w:tc>
          <w:tcPr>
            <w:tcW w:w="1070" w:type="pct"/>
            <w:tcBorders>
              <w:top w:val="single" w:sz="4" w:space="0" w:color="auto"/>
              <w:left w:val="nil"/>
              <w:right w:val="nil"/>
            </w:tcBorders>
            <w:shd w:val="clear" w:color="auto" w:fill="FFFFFF"/>
            <w:vAlign w:val="center"/>
          </w:tcPr>
          <w:p w14:paraId="18B2B2CF" w14:textId="76E31EC5" w:rsidR="004C31C1" w:rsidRPr="004C31C1" w:rsidRDefault="004C31C1" w:rsidP="004C31C1">
            <w:pPr>
              <w:jc w:val="right"/>
              <w:rPr>
                <w:b/>
                <w:bCs/>
                <w:color w:val="000000" w:themeColor="text1"/>
                <w:szCs w:val="20"/>
              </w:rPr>
            </w:pPr>
            <w:r w:rsidRPr="004C31C1">
              <w:rPr>
                <w:b/>
                <w:bCs/>
                <w:color w:val="000000" w:themeColor="text1"/>
                <w:szCs w:val="20"/>
              </w:rPr>
              <w:t xml:space="preserve">933 703 </w:t>
            </w:r>
          </w:p>
        </w:tc>
      </w:tr>
    </w:tbl>
    <w:p w14:paraId="0A117654" w14:textId="52B5D1E3" w:rsidR="00A130B1" w:rsidRPr="004C31C1" w:rsidRDefault="00A130B1" w:rsidP="00A600F3">
      <w:pPr>
        <w:spacing w:before="120" w:after="120"/>
        <w:rPr>
          <w:color w:val="000000" w:themeColor="text1"/>
          <w:szCs w:val="20"/>
        </w:rPr>
      </w:pPr>
    </w:p>
    <w:tbl>
      <w:tblPr>
        <w:tblW w:w="5000" w:type="pct"/>
        <w:tblLook w:val="00A0" w:firstRow="1" w:lastRow="0" w:firstColumn="1" w:lastColumn="0" w:noHBand="0" w:noVBand="0"/>
      </w:tblPr>
      <w:tblGrid>
        <w:gridCol w:w="5515"/>
        <w:gridCol w:w="2060"/>
        <w:gridCol w:w="2062"/>
      </w:tblGrid>
      <w:tr w:rsidR="00E24E29" w:rsidRPr="004C31C1" w14:paraId="4EDFA778" w14:textId="77777777" w:rsidTr="00DF2FF5">
        <w:trPr>
          <w:trHeight w:val="510"/>
          <w:tblHeader/>
        </w:trPr>
        <w:tc>
          <w:tcPr>
            <w:tcW w:w="2861" w:type="pct"/>
            <w:tcBorders>
              <w:left w:val="nil"/>
              <w:bottom w:val="single" w:sz="4" w:space="0" w:color="auto"/>
              <w:right w:val="nil"/>
            </w:tcBorders>
            <w:shd w:val="clear" w:color="auto" w:fill="FFFFFF"/>
            <w:vAlign w:val="center"/>
          </w:tcPr>
          <w:p w14:paraId="5AF53B2C" w14:textId="2DCF4427" w:rsidR="00DF2FF5" w:rsidRPr="004C31C1" w:rsidRDefault="00E24E29" w:rsidP="00A600F3">
            <w:pPr>
              <w:jc w:val="left"/>
              <w:rPr>
                <w:b/>
                <w:bCs/>
                <w:color w:val="000000" w:themeColor="text1"/>
                <w:szCs w:val="20"/>
              </w:rPr>
            </w:pPr>
            <w:r w:rsidRPr="004C31C1">
              <w:rPr>
                <w:b/>
                <w:bCs/>
                <w:color w:val="000000" w:themeColor="text1"/>
                <w:szCs w:val="20"/>
              </w:rPr>
              <w:t>20</w:t>
            </w:r>
            <w:r w:rsidR="00DF2FF5" w:rsidRPr="004C31C1">
              <w:rPr>
                <w:b/>
                <w:bCs/>
                <w:color w:val="000000" w:themeColor="text1"/>
                <w:szCs w:val="20"/>
              </w:rPr>
              <w:t>.2 Інші поточні зобов’язання</w:t>
            </w:r>
          </w:p>
        </w:tc>
        <w:tc>
          <w:tcPr>
            <w:tcW w:w="1069" w:type="pct"/>
            <w:tcBorders>
              <w:left w:val="nil"/>
              <w:bottom w:val="single" w:sz="4" w:space="0" w:color="auto"/>
              <w:right w:val="nil"/>
            </w:tcBorders>
            <w:shd w:val="clear" w:color="auto" w:fill="FFFFFF"/>
            <w:vAlign w:val="center"/>
          </w:tcPr>
          <w:p w14:paraId="0CEBEBD7" w14:textId="0D2F4934" w:rsidR="00DF2FF5" w:rsidRPr="004C31C1" w:rsidRDefault="00DF2FF5" w:rsidP="00124263">
            <w:pPr>
              <w:jc w:val="right"/>
              <w:rPr>
                <w:b/>
                <w:color w:val="000000" w:themeColor="text1"/>
                <w:szCs w:val="20"/>
              </w:rPr>
            </w:pPr>
            <w:r w:rsidRPr="004C31C1">
              <w:rPr>
                <w:b/>
                <w:color w:val="000000" w:themeColor="text1"/>
                <w:szCs w:val="20"/>
              </w:rPr>
              <w:t>31.12.20</w:t>
            </w:r>
            <w:r w:rsidR="00124263">
              <w:rPr>
                <w:b/>
                <w:color w:val="000000" w:themeColor="text1"/>
                <w:szCs w:val="20"/>
                <w:lang w:val="ru-RU"/>
              </w:rPr>
              <w:t>20</w:t>
            </w:r>
          </w:p>
        </w:tc>
        <w:tc>
          <w:tcPr>
            <w:tcW w:w="1070" w:type="pct"/>
            <w:tcBorders>
              <w:left w:val="nil"/>
              <w:bottom w:val="single" w:sz="4" w:space="0" w:color="auto"/>
              <w:right w:val="nil"/>
            </w:tcBorders>
            <w:shd w:val="clear" w:color="auto" w:fill="FFFFFF"/>
            <w:noWrap/>
            <w:vAlign w:val="center"/>
          </w:tcPr>
          <w:p w14:paraId="6769394E" w14:textId="19BFB71A" w:rsidR="00DF2FF5" w:rsidRPr="004C31C1" w:rsidRDefault="00DF2FF5" w:rsidP="00A600F3">
            <w:pPr>
              <w:jc w:val="right"/>
              <w:rPr>
                <w:b/>
                <w:color w:val="000000" w:themeColor="text1"/>
                <w:szCs w:val="20"/>
                <w:lang w:val="ru-RU"/>
              </w:rPr>
            </w:pPr>
            <w:r w:rsidRPr="004C31C1">
              <w:rPr>
                <w:b/>
                <w:color w:val="000000" w:themeColor="text1"/>
                <w:szCs w:val="20"/>
              </w:rPr>
              <w:t>31.12.201</w:t>
            </w:r>
            <w:r w:rsidR="00124263">
              <w:rPr>
                <w:b/>
                <w:color w:val="000000" w:themeColor="text1"/>
                <w:szCs w:val="20"/>
                <w:lang w:val="ru-RU"/>
              </w:rPr>
              <w:t>9</w:t>
            </w:r>
          </w:p>
          <w:p w14:paraId="51C35D50" w14:textId="55F4726D" w:rsidR="008E622B" w:rsidRPr="004C31C1" w:rsidRDefault="008E622B" w:rsidP="00A600F3">
            <w:pPr>
              <w:jc w:val="right"/>
              <w:rPr>
                <w:b/>
                <w:color w:val="000000" w:themeColor="text1"/>
                <w:szCs w:val="20"/>
                <w:lang w:val="ru-RU"/>
              </w:rPr>
            </w:pPr>
            <w:r w:rsidRPr="004C31C1">
              <w:rPr>
                <w:b/>
                <w:color w:val="000000" w:themeColor="text1"/>
                <w:szCs w:val="20"/>
              </w:rPr>
              <w:t>(перераховано)</w:t>
            </w:r>
          </w:p>
        </w:tc>
      </w:tr>
      <w:tr w:rsidR="00124263" w:rsidRPr="004C31C1" w14:paraId="3416834C" w14:textId="77777777" w:rsidTr="00E24E29">
        <w:trPr>
          <w:trHeight w:val="255"/>
        </w:trPr>
        <w:tc>
          <w:tcPr>
            <w:tcW w:w="2861" w:type="pct"/>
            <w:tcBorders>
              <w:top w:val="nil"/>
              <w:left w:val="nil"/>
              <w:bottom w:val="nil"/>
              <w:right w:val="nil"/>
            </w:tcBorders>
            <w:shd w:val="clear" w:color="auto" w:fill="FFFFFF"/>
            <w:vAlign w:val="center"/>
          </w:tcPr>
          <w:p w14:paraId="75288586" w14:textId="72720776" w:rsidR="00124263" w:rsidRPr="004C31C1" w:rsidRDefault="00124263" w:rsidP="00124263">
            <w:pPr>
              <w:jc w:val="left"/>
              <w:rPr>
                <w:color w:val="000000" w:themeColor="text1"/>
                <w:szCs w:val="20"/>
              </w:rPr>
            </w:pPr>
            <w:r w:rsidRPr="004C31C1">
              <w:rPr>
                <w:iCs/>
                <w:color w:val="000000" w:themeColor="text1"/>
                <w:szCs w:val="20"/>
              </w:rPr>
              <w:t>Розрахунки за маркетингові послуги</w:t>
            </w:r>
          </w:p>
        </w:tc>
        <w:tc>
          <w:tcPr>
            <w:tcW w:w="1069" w:type="pct"/>
            <w:tcBorders>
              <w:top w:val="nil"/>
              <w:left w:val="nil"/>
              <w:bottom w:val="nil"/>
              <w:right w:val="nil"/>
            </w:tcBorders>
            <w:shd w:val="clear" w:color="auto" w:fill="FFFFFF"/>
            <w:vAlign w:val="center"/>
          </w:tcPr>
          <w:p w14:paraId="2E976B34" w14:textId="5A79B6ED" w:rsidR="00124263" w:rsidRPr="00924AD3" w:rsidRDefault="00FB7BD5" w:rsidP="00124263">
            <w:pPr>
              <w:jc w:val="right"/>
              <w:rPr>
                <w:color w:val="000000" w:themeColor="text1"/>
                <w:szCs w:val="20"/>
                <w:lang w:val="ru-RU"/>
              </w:rPr>
            </w:pPr>
            <w:r w:rsidRPr="00924AD3">
              <w:rPr>
                <w:color w:val="000000" w:themeColor="text1"/>
                <w:szCs w:val="20"/>
              </w:rPr>
              <w:t>66 731</w:t>
            </w:r>
            <w:r w:rsidR="00124263" w:rsidRPr="00924AD3">
              <w:rPr>
                <w:color w:val="000000" w:themeColor="text1"/>
                <w:szCs w:val="20"/>
              </w:rPr>
              <w:t xml:space="preserve"> </w:t>
            </w:r>
          </w:p>
        </w:tc>
        <w:tc>
          <w:tcPr>
            <w:tcW w:w="1070" w:type="pct"/>
            <w:tcBorders>
              <w:top w:val="nil"/>
              <w:left w:val="nil"/>
              <w:bottom w:val="nil"/>
              <w:right w:val="nil"/>
            </w:tcBorders>
            <w:shd w:val="clear" w:color="auto" w:fill="FFFFFF"/>
            <w:vAlign w:val="center"/>
          </w:tcPr>
          <w:p w14:paraId="01F877BF" w14:textId="42A707BE" w:rsidR="00124263" w:rsidRPr="004C31C1" w:rsidRDefault="00124263" w:rsidP="00124263">
            <w:pPr>
              <w:jc w:val="right"/>
              <w:rPr>
                <w:color w:val="000000" w:themeColor="text1"/>
                <w:szCs w:val="20"/>
              </w:rPr>
            </w:pPr>
            <w:r w:rsidRPr="004C31C1">
              <w:rPr>
                <w:color w:val="000000" w:themeColor="text1"/>
                <w:szCs w:val="20"/>
              </w:rPr>
              <w:t xml:space="preserve">121 469 </w:t>
            </w:r>
          </w:p>
        </w:tc>
      </w:tr>
      <w:tr w:rsidR="00124263" w:rsidRPr="004C31C1" w14:paraId="33CC6888" w14:textId="77777777" w:rsidTr="00E24E29">
        <w:trPr>
          <w:trHeight w:val="255"/>
        </w:trPr>
        <w:tc>
          <w:tcPr>
            <w:tcW w:w="2861" w:type="pct"/>
            <w:tcBorders>
              <w:top w:val="nil"/>
              <w:left w:val="nil"/>
              <w:bottom w:val="nil"/>
              <w:right w:val="nil"/>
            </w:tcBorders>
            <w:shd w:val="clear" w:color="auto" w:fill="FFFFFF"/>
            <w:vAlign w:val="center"/>
          </w:tcPr>
          <w:p w14:paraId="5EB7DB31" w14:textId="4557C814" w:rsidR="00124263" w:rsidRPr="004C31C1" w:rsidRDefault="00124263" w:rsidP="00124263">
            <w:pPr>
              <w:jc w:val="left"/>
              <w:rPr>
                <w:color w:val="000000" w:themeColor="text1"/>
                <w:szCs w:val="20"/>
              </w:rPr>
            </w:pPr>
            <w:r w:rsidRPr="004C31C1">
              <w:rPr>
                <w:iCs/>
                <w:color w:val="000000" w:themeColor="text1"/>
                <w:szCs w:val="20"/>
              </w:rPr>
              <w:t>Розрахунки за заробітною платою</w:t>
            </w:r>
          </w:p>
        </w:tc>
        <w:tc>
          <w:tcPr>
            <w:tcW w:w="1069" w:type="pct"/>
            <w:tcBorders>
              <w:top w:val="nil"/>
              <w:left w:val="nil"/>
              <w:bottom w:val="nil"/>
              <w:right w:val="nil"/>
            </w:tcBorders>
            <w:shd w:val="clear" w:color="auto" w:fill="FFFFFF"/>
            <w:vAlign w:val="center"/>
          </w:tcPr>
          <w:p w14:paraId="4E60DCD0" w14:textId="3424A0C2" w:rsidR="00124263" w:rsidRPr="00924AD3" w:rsidRDefault="004755D9" w:rsidP="00124263">
            <w:pPr>
              <w:jc w:val="right"/>
              <w:rPr>
                <w:color w:val="000000" w:themeColor="text1"/>
                <w:szCs w:val="20"/>
                <w:lang w:val="ru-RU"/>
              </w:rPr>
            </w:pPr>
            <w:r w:rsidRPr="00924AD3">
              <w:rPr>
                <w:color w:val="000000" w:themeColor="text1"/>
                <w:szCs w:val="20"/>
              </w:rPr>
              <w:t>9 153</w:t>
            </w:r>
            <w:r w:rsidR="00124263" w:rsidRPr="00924AD3">
              <w:rPr>
                <w:color w:val="000000" w:themeColor="text1"/>
                <w:szCs w:val="20"/>
              </w:rPr>
              <w:t xml:space="preserve"> </w:t>
            </w:r>
          </w:p>
        </w:tc>
        <w:tc>
          <w:tcPr>
            <w:tcW w:w="1070" w:type="pct"/>
            <w:tcBorders>
              <w:top w:val="nil"/>
              <w:left w:val="nil"/>
              <w:bottom w:val="nil"/>
              <w:right w:val="nil"/>
            </w:tcBorders>
            <w:shd w:val="clear" w:color="auto" w:fill="FFFFFF"/>
            <w:vAlign w:val="center"/>
          </w:tcPr>
          <w:p w14:paraId="7503F49F" w14:textId="7B7B0422" w:rsidR="00124263" w:rsidRPr="004C31C1" w:rsidRDefault="00124263" w:rsidP="00124263">
            <w:pPr>
              <w:jc w:val="right"/>
              <w:rPr>
                <w:color w:val="000000" w:themeColor="text1"/>
                <w:szCs w:val="20"/>
              </w:rPr>
            </w:pPr>
            <w:r w:rsidRPr="004C31C1">
              <w:rPr>
                <w:color w:val="000000" w:themeColor="text1"/>
                <w:szCs w:val="20"/>
              </w:rPr>
              <w:t xml:space="preserve">8 086 </w:t>
            </w:r>
          </w:p>
        </w:tc>
      </w:tr>
      <w:tr w:rsidR="00124263" w:rsidRPr="004C31C1" w14:paraId="7EC5A289" w14:textId="77777777" w:rsidTr="00E24E29">
        <w:trPr>
          <w:trHeight w:val="255"/>
        </w:trPr>
        <w:tc>
          <w:tcPr>
            <w:tcW w:w="2861" w:type="pct"/>
            <w:tcBorders>
              <w:top w:val="nil"/>
              <w:left w:val="nil"/>
              <w:bottom w:val="nil"/>
              <w:right w:val="nil"/>
            </w:tcBorders>
            <w:shd w:val="clear" w:color="auto" w:fill="FFFFFF"/>
            <w:vAlign w:val="center"/>
          </w:tcPr>
          <w:p w14:paraId="43D2EB1E" w14:textId="430155F4" w:rsidR="00124263" w:rsidRPr="004C31C1" w:rsidRDefault="00124263" w:rsidP="00124263">
            <w:pPr>
              <w:jc w:val="left"/>
              <w:rPr>
                <w:color w:val="000000" w:themeColor="text1"/>
                <w:szCs w:val="20"/>
              </w:rPr>
            </w:pPr>
            <w:r w:rsidRPr="004C31C1">
              <w:rPr>
                <w:iCs/>
                <w:color w:val="000000" w:themeColor="text1"/>
                <w:szCs w:val="20"/>
              </w:rPr>
              <w:t>Розрахунки за відсотками</w:t>
            </w:r>
          </w:p>
        </w:tc>
        <w:tc>
          <w:tcPr>
            <w:tcW w:w="1069" w:type="pct"/>
            <w:tcBorders>
              <w:top w:val="nil"/>
              <w:left w:val="nil"/>
              <w:bottom w:val="nil"/>
              <w:right w:val="nil"/>
            </w:tcBorders>
            <w:shd w:val="clear" w:color="auto" w:fill="FFFFFF"/>
            <w:vAlign w:val="center"/>
          </w:tcPr>
          <w:p w14:paraId="0D92C334" w14:textId="5B4155C7" w:rsidR="00124263" w:rsidRPr="00924AD3" w:rsidRDefault="004755D9" w:rsidP="00124263">
            <w:pPr>
              <w:jc w:val="right"/>
              <w:rPr>
                <w:color w:val="000000" w:themeColor="text1"/>
                <w:szCs w:val="20"/>
                <w:lang w:val="ru-RU"/>
              </w:rPr>
            </w:pPr>
            <w:r w:rsidRPr="00924AD3">
              <w:rPr>
                <w:color w:val="000000" w:themeColor="text1"/>
                <w:szCs w:val="20"/>
              </w:rPr>
              <w:t>709 756</w:t>
            </w:r>
            <w:r w:rsidR="00124263" w:rsidRPr="00924AD3">
              <w:rPr>
                <w:color w:val="000000" w:themeColor="text1"/>
                <w:szCs w:val="20"/>
              </w:rPr>
              <w:t xml:space="preserve"> </w:t>
            </w:r>
          </w:p>
        </w:tc>
        <w:tc>
          <w:tcPr>
            <w:tcW w:w="1070" w:type="pct"/>
            <w:tcBorders>
              <w:top w:val="nil"/>
              <w:left w:val="nil"/>
              <w:bottom w:val="nil"/>
              <w:right w:val="nil"/>
            </w:tcBorders>
            <w:shd w:val="clear" w:color="auto" w:fill="FFFFFF"/>
            <w:vAlign w:val="center"/>
          </w:tcPr>
          <w:p w14:paraId="52576B8B" w14:textId="600BA9B6" w:rsidR="00124263" w:rsidRPr="004C31C1" w:rsidRDefault="00124263" w:rsidP="00124263">
            <w:pPr>
              <w:jc w:val="right"/>
              <w:rPr>
                <w:color w:val="000000" w:themeColor="text1"/>
                <w:szCs w:val="20"/>
              </w:rPr>
            </w:pPr>
            <w:r w:rsidRPr="004C31C1">
              <w:rPr>
                <w:color w:val="000000" w:themeColor="text1"/>
                <w:szCs w:val="20"/>
              </w:rPr>
              <w:t xml:space="preserve">538 635 </w:t>
            </w:r>
          </w:p>
        </w:tc>
      </w:tr>
      <w:tr w:rsidR="00124263" w:rsidRPr="004C31C1" w14:paraId="169C435C" w14:textId="77777777" w:rsidTr="00E24E29">
        <w:trPr>
          <w:trHeight w:val="255"/>
        </w:trPr>
        <w:tc>
          <w:tcPr>
            <w:tcW w:w="2861" w:type="pct"/>
            <w:tcBorders>
              <w:top w:val="nil"/>
              <w:left w:val="nil"/>
              <w:bottom w:val="nil"/>
              <w:right w:val="nil"/>
            </w:tcBorders>
            <w:shd w:val="clear" w:color="auto" w:fill="FFFFFF"/>
            <w:vAlign w:val="center"/>
          </w:tcPr>
          <w:p w14:paraId="2F1DA63D" w14:textId="5FDF74B9" w:rsidR="00124263" w:rsidRPr="004C31C1" w:rsidRDefault="00124263" w:rsidP="00124263">
            <w:pPr>
              <w:jc w:val="left"/>
              <w:rPr>
                <w:color w:val="000000" w:themeColor="text1"/>
                <w:szCs w:val="20"/>
              </w:rPr>
            </w:pPr>
            <w:r w:rsidRPr="004C31C1">
              <w:rPr>
                <w:iCs/>
                <w:color w:val="000000" w:themeColor="text1"/>
                <w:szCs w:val="20"/>
              </w:rPr>
              <w:t>Розрахунки за соціальними страхуванням</w:t>
            </w:r>
          </w:p>
        </w:tc>
        <w:tc>
          <w:tcPr>
            <w:tcW w:w="1069" w:type="pct"/>
            <w:tcBorders>
              <w:top w:val="nil"/>
              <w:left w:val="nil"/>
              <w:bottom w:val="nil"/>
              <w:right w:val="nil"/>
            </w:tcBorders>
            <w:shd w:val="clear" w:color="auto" w:fill="FFFFFF"/>
            <w:vAlign w:val="center"/>
          </w:tcPr>
          <w:p w14:paraId="1F7F48EE" w14:textId="197B9EDE" w:rsidR="00124263" w:rsidRPr="00924AD3" w:rsidRDefault="004755D9" w:rsidP="003B3348">
            <w:pPr>
              <w:jc w:val="right"/>
              <w:rPr>
                <w:color w:val="000000" w:themeColor="text1"/>
                <w:szCs w:val="20"/>
                <w:lang w:val="ru-RU"/>
              </w:rPr>
            </w:pPr>
            <w:r w:rsidRPr="00924AD3">
              <w:rPr>
                <w:color w:val="000000" w:themeColor="text1"/>
                <w:szCs w:val="20"/>
              </w:rPr>
              <w:t>2 26</w:t>
            </w:r>
            <w:r w:rsidR="003B3348" w:rsidRPr="00924AD3">
              <w:rPr>
                <w:color w:val="000000" w:themeColor="text1"/>
                <w:szCs w:val="20"/>
              </w:rPr>
              <w:t>8</w:t>
            </w:r>
            <w:r w:rsidR="00124263" w:rsidRPr="00924AD3">
              <w:rPr>
                <w:color w:val="000000" w:themeColor="text1"/>
                <w:szCs w:val="20"/>
              </w:rPr>
              <w:t xml:space="preserve"> </w:t>
            </w:r>
          </w:p>
        </w:tc>
        <w:tc>
          <w:tcPr>
            <w:tcW w:w="1070" w:type="pct"/>
            <w:tcBorders>
              <w:top w:val="nil"/>
              <w:left w:val="nil"/>
              <w:bottom w:val="nil"/>
              <w:right w:val="nil"/>
            </w:tcBorders>
            <w:shd w:val="clear" w:color="auto" w:fill="FFFFFF"/>
            <w:vAlign w:val="center"/>
          </w:tcPr>
          <w:p w14:paraId="711D92F9" w14:textId="0A8A8E53" w:rsidR="00124263" w:rsidRPr="004C31C1" w:rsidRDefault="00124263" w:rsidP="00124263">
            <w:pPr>
              <w:jc w:val="right"/>
              <w:rPr>
                <w:color w:val="000000" w:themeColor="text1"/>
                <w:szCs w:val="20"/>
              </w:rPr>
            </w:pPr>
            <w:r w:rsidRPr="004C31C1">
              <w:rPr>
                <w:color w:val="000000" w:themeColor="text1"/>
                <w:szCs w:val="20"/>
              </w:rPr>
              <w:t xml:space="preserve">2 118 </w:t>
            </w:r>
          </w:p>
        </w:tc>
      </w:tr>
      <w:tr w:rsidR="00124263" w:rsidRPr="004C31C1" w14:paraId="7C650CF3" w14:textId="77777777" w:rsidTr="00E24E29">
        <w:trPr>
          <w:trHeight w:val="255"/>
        </w:trPr>
        <w:tc>
          <w:tcPr>
            <w:tcW w:w="2861" w:type="pct"/>
            <w:tcBorders>
              <w:top w:val="nil"/>
              <w:left w:val="nil"/>
              <w:bottom w:val="nil"/>
              <w:right w:val="nil"/>
            </w:tcBorders>
            <w:shd w:val="clear" w:color="auto" w:fill="FFFFFF"/>
            <w:noWrap/>
            <w:vAlign w:val="center"/>
          </w:tcPr>
          <w:p w14:paraId="3255976E" w14:textId="64125B7F" w:rsidR="00124263" w:rsidRPr="004C31C1" w:rsidRDefault="00124263" w:rsidP="00124263">
            <w:pPr>
              <w:jc w:val="left"/>
              <w:rPr>
                <w:color w:val="000000" w:themeColor="text1"/>
                <w:szCs w:val="20"/>
              </w:rPr>
            </w:pPr>
            <w:r w:rsidRPr="004C31C1">
              <w:rPr>
                <w:iCs/>
                <w:color w:val="000000" w:themeColor="text1"/>
                <w:szCs w:val="20"/>
              </w:rPr>
              <w:t>Інші</w:t>
            </w:r>
          </w:p>
        </w:tc>
        <w:tc>
          <w:tcPr>
            <w:tcW w:w="1069" w:type="pct"/>
            <w:tcBorders>
              <w:top w:val="nil"/>
              <w:left w:val="nil"/>
              <w:bottom w:val="nil"/>
              <w:right w:val="nil"/>
            </w:tcBorders>
            <w:shd w:val="clear" w:color="auto" w:fill="FFFFFF"/>
            <w:vAlign w:val="center"/>
          </w:tcPr>
          <w:p w14:paraId="189F2C9B" w14:textId="71D3B298" w:rsidR="00124263" w:rsidRPr="00924AD3" w:rsidRDefault="00FB7BD5" w:rsidP="003B3348">
            <w:pPr>
              <w:jc w:val="right"/>
              <w:rPr>
                <w:color w:val="000000" w:themeColor="text1"/>
                <w:szCs w:val="20"/>
                <w:lang w:val="ru-RU"/>
              </w:rPr>
            </w:pPr>
            <w:r w:rsidRPr="00924AD3">
              <w:rPr>
                <w:color w:val="000000" w:themeColor="text1"/>
                <w:szCs w:val="20"/>
              </w:rPr>
              <w:t>162 746</w:t>
            </w:r>
            <w:r w:rsidR="00124263" w:rsidRPr="00924AD3">
              <w:rPr>
                <w:color w:val="000000" w:themeColor="text1"/>
                <w:szCs w:val="20"/>
              </w:rPr>
              <w:t xml:space="preserve"> </w:t>
            </w:r>
          </w:p>
        </w:tc>
        <w:tc>
          <w:tcPr>
            <w:tcW w:w="1070" w:type="pct"/>
            <w:tcBorders>
              <w:top w:val="nil"/>
              <w:left w:val="nil"/>
              <w:bottom w:val="nil"/>
              <w:right w:val="nil"/>
            </w:tcBorders>
            <w:shd w:val="clear" w:color="auto" w:fill="FFFFFF"/>
            <w:vAlign w:val="center"/>
          </w:tcPr>
          <w:p w14:paraId="2D7F0163" w14:textId="0F6E936A" w:rsidR="00124263" w:rsidRPr="004C31C1" w:rsidRDefault="00124263" w:rsidP="006406C1">
            <w:pPr>
              <w:jc w:val="right"/>
              <w:rPr>
                <w:color w:val="000000" w:themeColor="text1"/>
                <w:szCs w:val="20"/>
              </w:rPr>
            </w:pPr>
            <w:r w:rsidRPr="004C31C1">
              <w:rPr>
                <w:color w:val="000000" w:themeColor="text1"/>
                <w:szCs w:val="20"/>
              </w:rPr>
              <w:t>155 57</w:t>
            </w:r>
            <w:r w:rsidR="006406C1">
              <w:rPr>
                <w:color w:val="000000" w:themeColor="text1"/>
                <w:szCs w:val="20"/>
              </w:rPr>
              <w:t>3</w:t>
            </w:r>
            <w:r w:rsidRPr="004C31C1">
              <w:rPr>
                <w:color w:val="000000" w:themeColor="text1"/>
                <w:szCs w:val="20"/>
              </w:rPr>
              <w:t xml:space="preserve"> </w:t>
            </w:r>
          </w:p>
        </w:tc>
      </w:tr>
      <w:tr w:rsidR="00124263" w:rsidRPr="008756CD" w14:paraId="0609BDC8" w14:textId="77777777" w:rsidTr="00E24E29">
        <w:trPr>
          <w:trHeight w:val="255"/>
        </w:trPr>
        <w:tc>
          <w:tcPr>
            <w:tcW w:w="2861" w:type="pct"/>
            <w:tcBorders>
              <w:top w:val="single" w:sz="4" w:space="0" w:color="auto"/>
              <w:left w:val="nil"/>
              <w:bottom w:val="nil"/>
              <w:right w:val="nil"/>
            </w:tcBorders>
            <w:shd w:val="clear" w:color="auto" w:fill="FFFFFF"/>
            <w:noWrap/>
            <w:vAlign w:val="center"/>
          </w:tcPr>
          <w:p w14:paraId="4F209D9A" w14:textId="77777777" w:rsidR="00124263" w:rsidRPr="004C31C1" w:rsidRDefault="00124263" w:rsidP="00124263">
            <w:pPr>
              <w:jc w:val="left"/>
              <w:rPr>
                <w:b/>
                <w:bCs/>
                <w:color w:val="000000" w:themeColor="text1"/>
                <w:szCs w:val="20"/>
              </w:rPr>
            </w:pPr>
            <w:r w:rsidRPr="004C31C1">
              <w:rPr>
                <w:b/>
                <w:bCs/>
                <w:color w:val="000000" w:themeColor="text1"/>
                <w:szCs w:val="20"/>
              </w:rPr>
              <w:t>Разом:</w:t>
            </w:r>
          </w:p>
        </w:tc>
        <w:tc>
          <w:tcPr>
            <w:tcW w:w="1069" w:type="pct"/>
            <w:tcBorders>
              <w:top w:val="single" w:sz="4" w:space="0" w:color="auto"/>
              <w:left w:val="nil"/>
              <w:bottom w:val="nil"/>
              <w:right w:val="nil"/>
            </w:tcBorders>
            <w:shd w:val="clear" w:color="auto" w:fill="FFFFFF"/>
            <w:vAlign w:val="center"/>
          </w:tcPr>
          <w:p w14:paraId="314B088B" w14:textId="6134F956" w:rsidR="00124263" w:rsidRPr="004C31C1" w:rsidRDefault="004755D9" w:rsidP="003B3348">
            <w:pPr>
              <w:jc w:val="right"/>
              <w:rPr>
                <w:b/>
                <w:bCs/>
                <w:color w:val="000000" w:themeColor="text1"/>
                <w:szCs w:val="20"/>
                <w:lang w:val="ru-RU"/>
              </w:rPr>
            </w:pPr>
            <w:r>
              <w:rPr>
                <w:b/>
                <w:bCs/>
                <w:color w:val="000000" w:themeColor="text1"/>
                <w:szCs w:val="20"/>
              </w:rPr>
              <w:t>950 65</w:t>
            </w:r>
            <w:r w:rsidR="003B3348">
              <w:rPr>
                <w:b/>
                <w:bCs/>
                <w:color w:val="000000" w:themeColor="text1"/>
                <w:szCs w:val="20"/>
              </w:rPr>
              <w:t>4</w:t>
            </w:r>
            <w:r w:rsidR="00124263" w:rsidRPr="004C31C1">
              <w:rPr>
                <w:b/>
                <w:bCs/>
                <w:color w:val="000000" w:themeColor="text1"/>
                <w:szCs w:val="20"/>
              </w:rPr>
              <w:t xml:space="preserve"> </w:t>
            </w:r>
          </w:p>
        </w:tc>
        <w:tc>
          <w:tcPr>
            <w:tcW w:w="1070" w:type="pct"/>
            <w:tcBorders>
              <w:top w:val="single" w:sz="4" w:space="0" w:color="auto"/>
              <w:left w:val="nil"/>
              <w:bottom w:val="nil"/>
              <w:right w:val="nil"/>
            </w:tcBorders>
            <w:shd w:val="clear" w:color="auto" w:fill="FFFFFF"/>
            <w:noWrap/>
            <w:vAlign w:val="center"/>
          </w:tcPr>
          <w:p w14:paraId="2693900B" w14:textId="3821843C" w:rsidR="00124263" w:rsidRPr="004C31C1" w:rsidRDefault="00124263" w:rsidP="006406C1">
            <w:pPr>
              <w:jc w:val="right"/>
              <w:rPr>
                <w:b/>
                <w:bCs/>
                <w:color w:val="000000" w:themeColor="text1"/>
                <w:szCs w:val="20"/>
              </w:rPr>
            </w:pPr>
            <w:r w:rsidRPr="004C31C1">
              <w:rPr>
                <w:b/>
                <w:bCs/>
                <w:color w:val="000000" w:themeColor="text1"/>
                <w:szCs w:val="20"/>
              </w:rPr>
              <w:t>825 8</w:t>
            </w:r>
            <w:r w:rsidR="006406C1">
              <w:rPr>
                <w:b/>
                <w:bCs/>
                <w:color w:val="000000" w:themeColor="text1"/>
                <w:szCs w:val="20"/>
              </w:rPr>
              <w:t>81</w:t>
            </w:r>
            <w:r w:rsidRPr="004C31C1">
              <w:rPr>
                <w:b/>
                <w:bCs/>
                <w:color w:val="000000" w:themeColor="text1"/>
                <w:szCs w:val="20"/>
              </w:rPr>
              <w:t xml:space="preserve"> </w:t>
            </w:r>
          </w:p>
        </w:tc>
      </w:tr>
    </w:tbl>
    <w:p w14:paraId="2F5C8587" w14:textId="77777777" w:rsidR="00920BA5" w:rsidRPr="004C31C1" w:rsidRDefault="00462939" w:rsidP="00A600F3">
      <w:pPr>
        <w:pStyle w:val="1"/>
        <w:rPr>
          <w:color w:val="000000" w:themeColor="text1"/>
          <w:szCs w:val="20"/>
        </w:rPr>
      </w:pPr>
      <w:bookmarkStart w:id="128" w:name="_Toc475007911"/>
      <w:bookmarkStart w:id="129" w:name="_Toc475522358"/>
      <w:bookmarkStart w:id="130" w:name="_Toc68253974"/>
      <w:r w:rsidRPr="004C31C1">
        <w:rPr>
          <w:color w:val="000000" w:themeColor="text1"/>
          <w:szCs w:val="20"/>
        </w:rPr>
        <w:t>Виплати працівникам</w:t>
      </w:r>
      <w:bookmarkEnd w:id="128"/>
      <w:bookmarkEnd w:id="129"/>
      <w:bookmarkEnd w:id="130"/>
    </w:p>
    <w:tbl>
      <w:tblPr>
        <w:tblW w:w="5000" w:type="pct"/>
        <w:tblLook w:val="00A0" w:firstRow="1" w:lastRow="0" w:firstColumn="1" w:lastColumn="0" w:noHBand="0" w:noVBand="0"/>
      </w:tblPr>
      <w:tblGrid>
        <w:gridCol w:w="5515"/>
        <w:gridCol w:w="2060"/>
        <w:gridCol w:w="2062"/>
      </w:tblGrid>
      <w:tr w:rsidR="00E24E29" w:rsidRPr="004C31C1" w14:paraId="460985B7" w14:textId="77777777" w:rsidTr="00DF2FF5">
        <w:trPr>
          <w:trHeight w:val="510"/>
          <w:tblHeader/>
        </w:trPr>
        <w:tc>
          <w:tcPr>
            <w:tcW w:w="2861" w:type="pct"/>
            <w:tcBorders>
              <w:left w:val="nil"/>
              <w:bottom w:val="single" w:sz="4" w:space="0" w:color="auto"/>
              <w:right w:val="nil"/>
            </w:tcBorders>
            <w:shd w:val="clear" w:color="auto" w:fill="FFFFFF"/>
            <w:noWrap/>
            <w:vAlign w:val="center"/>
          </w:tcPr>
          <w:p w14:paraId="0B7B52EE" w14:textId="42661A1A" w:rsidR="00DF2FF5" w:rsidRPr="004C31C1" w:rsidRDefault="00E24E29" w:rsidP="00DF2FF5">
            <w:pPr>
              <w:jc w:val="left"/>
              <w:rPr>
                <w:b/>
                <w:bCs/>
                <w:color w:val="000000" w:themeColor="text1"/>
                <w:szCs w:val="20"/>
              </w:rPr>
            </w:pPr>
            <w:r w:rsidRPr="004C31C1">
              <w:rPr>
                <w:b/>
                <w:bCs/>
                <w:color w:val="000000" w:themeColor="text1"/>
                <w:szCs w:val="20"/>
              </w:rPr>
              <w:t>21</w:t>
            </w:r>
            <w:r w:rsidR="00DF2FF5" w:rsidRPr="004C31C1">
              <w:rPr>
                <w:b/>
                <w:bCs/>
                <w:color w:val="000000" w:themeColor="text1"/>
                <w:szCs w:val="20"/>
              </w:rPr>
              <w:t>.1 Розрахунки з персоналом</w:t>
            </w:r>
          </w:p>
        </w:tc>
        <w:tc>
          <w:tcPr>
            <w:tcW w:w="1069" w:type="pct"/>
            <w:tcBorders>
              <w:left w:val="nil"/>
              <w:bottom w:val="single" w:sz="4" w:space="0" w:color="auto"/>
              <w:right w:val="nil"/>
            </w:tcBorders>
            <w:shd w:val="clear" w:color="auto" w:fill="FFFFFF"/>
            <w:vAlign w:val="center"/>
          </w:tcPr>
          <w:p w14:paraId="1529217F" w14:textId="35DEE080" w:rsidR="00DF2FF5" w:rsidRPr="004C31C1" w:rsidRDefault="004C31C1" w:rsidP="00DF2FF5">
            <w:pPr>
              <w:jc w:val="right"/>
              <w:rPr>
                <w:b/>
                <w:color w:val="000000" w:themeColor="text1"/>
                <w:szCs w:val="20"/>
                <w:lang w:val="ru-RU"/>
              </w:rPr>
            </w:pPr>
            <w:r w:rsidRPr="004C31C1">
              <w:rPr>
                <w:b/>
                <w:color w:val="000000" w:themeColor="text1"/>
                <w:szCs w:val="20"/>
              </w:rPr>
              <w:t>31.12.2020</w:t>
            </w:r>
          </w:p>
        </w:tc>
        <w:tc>
          <w:tcPr>
            <w:tcW w:w="1070" w:type="pct"/>
            <w:tcBorders>
              <w:left w:val="nil"/>
              <w:bottom w:val="single" w:sz="4" w:space="0" w:color="auto"/>
              <w:right w:val="nil"/>
            </w:tcBorders>
            <w:shd w:val="clear" w:color="auto" w:fill="FFFFFF"/>
            <w:noWrap/>
            <w:vAlign w:val="center"/>
          </w:tcPr>
          <w:p w14:paraId="65F6BEFB" w14:textId="23216992" w:rsidR="00DF2FF5" w:rsidRPr="004C31C1" w:rsidRDefault="00DF2FF5" w:rsidP="006B51C6">
            <w:pPr>
              <w:jc w:val="right"/>
              <w:rPr>
                <w:b/>
                <w:color w:val="000000" w:themeColor="text1"/>
                <w:szCs w:val="20"/>
                <w:lang w:val="en-US"/>
              </w:rPr>
            </w:pPr>
            <w:r w:rsidRPr="004C31C1">
              <w:rPr>
                <w:b/>
                <w:color w:val="000000" w:themeColor="text1"/>
                <w:szCs w:val="20"/>
              </w:rPr>
              <w:t>31.12.201</w:t>
            </w:r>
            <w:r w:rsidR="006B51C6" w:rsidRPr="004C31C1">
              <w:rPr>
                <w:b/>
                <w:color w:val="000000" w:themeColor="text1"/>
                <w:szCs w:val="20"/>
                <w:lang w:val="en-US"/>
              </w:rPr>
              <w:t>9</w:t>
            </w:r>
          </w:p>
        </w:tc>
      </w:tr>
      <w:tr w:rsidR="006B51C6" w:rsidRPr="004C31C1" w14:paraId="54054145" w14:textId="77777777" w:rsidTr="00E24E29">
        <w:trPr>
          <w:trHeight w:val="255"/>
        </w:trPr>
        <w:tc>
          <w:tcPr>
            <w:tcW w:w="2861" w:type="pct"/>
            <w:tcBorders>
              <w:top w:val="nil"/>
              <w:left w:val="nil"/>
              <w:right w:val="nil"/>
            </w:tcBorders>
            <w:shd w:val="clear" w:color="auto" w:fill="FFFFFF"/>
            <w:noWrap/>
            <w:vAlign w:val="center"/>
          </w:tcPr>
          <w:p w14:paraId="765B91D9" w14:textId="747BD456" w:rsidR="006B51C6" w:rsidRPr="004C31C1" w:rsidRDefault="006B51C6" w:rsidP="006B51C6">
            <w:pPr>
              <w:pStyle w:val="af7"/>
              <w:spacing w:before="0" w:after="0"/>
              <w:jc w:val="left"/>
              <w:rPr>
                <w:color w:val="000000" w:themeColor="text1"/>
                <w:szCs w:val="20"/>
              </w:rPr>
            </w:pPr>
            <w:r w:rsidRPr="004C31C1">
              <w:rPr>
                <w:color w:val="000000" w:themeColor="text1"/>
                <w:szCs w:val="20"/>
              </w:rPr>
              <w:t>Заборгованість перед персоналом</w:t>
            </w:r>
          </w:p>
        </w:tc>
        <w:tc>
          <w:tcPr>
            <w:tcW w:w="1069" w:type="pct"/>
            <w:tcBorders>
              <w:top w:val="nil"/>
              <w:left w:val="nil"/>
              <w:right w:val="nil"/>
            </w:tcBorders>
            <w:shd w:val="clear" w:color="auto" w:fill="FFFFFF"/>
            <w:vAlign w:val="center"/>
          </w:tcPr>
          <w:p w14:paraId="31F71FE7" w14:textId="17127F54" w:rsidR="006B51C6" w:rsidRPr="004C31C1" w:rsidRDefault="004C31C1" w:rsidP="006B51C6">
            <w:pPr>
              <w:jc w:val="right"/>
              <w:rPr>
                <w:color w:val="000000" w:themeColor="text1"/>
                <w:szCs w:val="20"/>
                <w:lang w:val="ru-RU"/>
              </w:rPr>
            </w:pPr>
            <w:r w:rsidRPr="004C31C1">
              <w:rPr>
                <w:color w:val="000000" w:themeColor="text1"/>
                <w:szCs w:val="20"/>
              </w:rPr>
              <w:t>9 153</w:t>
            </w:r>
            <w:r w:rsidR="006B51C6" w:rsidRPr="004C31C1">
              <w:rPr>
                <w:color w:val="000000" w:themeColor="text1"/>
                <w:szCs w:val="20"/>
              </w:rPr>
              <w:t xml:space="preserve"> </w:t>
            </w:r>
          </w:p>
        </w:tc>
        <w:tc>
          <w:tcPr>
            <w:tcW w:w="1070" w:type="pct"/>
            <w:tcBorders>
              <w:top w:val="nil"/>
              <w:left w:val="nil"/>
              <w:right w:val="nil"/>
            </w:tcBorders>
            <w:shd w:val="clear" w:color="auto" w:fill="FFFFFF"/>
            <w:vAlign w:val="center"/>
          </w:tcPr>
          <w:p w14:paraId="708FB44F" w14:textId="01A1D0AB" w:rsidR="006B51C6" w:rsidRPr="004C31C1" w:rsidRDefault="006B51C6" w:rsidP="006B51C6">
            <w:pPr>
              <w:jc w:val="right"/>
              <w:rPr>
                <w:color w:val="000000" w:themeColor="text1"/>
                <w:szCs w:val="20"/>
              </w:rPr>
            </w:pPr>
            <w:r w:rsidRPr="004C31C1">
              <w:rPr>
                <w:color w:val="000000" w:themeColor="text1"/>
                <w:szCs w:val="20"/>
              </w:rPr>
              <w:t xml:space="preserve">8 086 </w:t>
            </w:r>
          </w:p>
        </w:tc>
      </w:tr>
      <w:tr w:rsidR="006B51C6" w:rsidRPr="004C31C1" w14:paraId="7F13D8A6" w14:textId="77777777" w:rsidTr="00E24E29">
        <w:trPr>
          <w:trHeight w:val="255"/>
        </w:trPr>
        <w:tc>
          <w:tcPr>
            <w:tcW w:w="2861" w:type="pct"/>
            <w:tcBorders>
              <w:top w:val="nil"/>
              <w:left w:val="nil"/>
              <w:bottom w:val="single" w:sz="4" w:space="0" w:color="auto"/>
              <w:right w:val="nil"/>
            </w:tcBorders>
            <w:shd w:val="clear" w:color="auto" w:fill="FFFFFF"/>
            <w:vAlign w:val="center"/>
          </w:tcPr>
          <w:p w14:paraId="68A5D698" w14:textId="568202EB" w:rsidR="006B51C6" w:rsidRPr="004C31C1" w:rsidRDefault="006B51C6" w:rsidP="006B51C6">
            <w:pPr>
              <w:pStyle w:val="af7"/>
              <w:spacing w:before="0" w:after="0"/>
              <w:jc w:val="left"/>
              <w:rPr>
                <w:color w:val="000000" w:themeColor="text1"/>
                <w:szCs w:val="20"/>
              </w:rPr>
            </w:pPr>
            <w:r w:rsidRPr="004C31C1">
              <w:rPr>
                <w:color w:val="000000" w:themeColor="text1"/>
                <w:szCs w:val="20"/>
              </w:rPr>
              <w:t>Заборгованість перед фондами соціального страхування</w:t>
            </w:r>
          </w:p>
        </w:tc>
        <w:tc>
          <w:tcPr>
            <w:tcW w:w="1069" w:type="pct"/>
            <w:tcBorders>
              <w:top w:val="nil"/>
              <w:left w:val="nil"/>
              <w:bottom w:val="single" w:sz="4" w:space="0" w:color="auto"/>
              <w:right w:val="nil"/>
            </w:tcBorders>
            <w:shd w:val="clear" w:color="auto" w:fill="FFFFFF"/>
            <w:vAlign w:val="center"/>
          </w:tcPr>
          <w:p w14:paraId="3D267FF4" w14:textId="251E6481" w:rsidR="006B51C6" w:rsidRPr="004C31C1" w:rsidRDefault="004C31C1" w:rsidP="0005473D">
            <w:pPr>
              <w:jc w:val="right"/>
              <w:rPr>
                <w:color w:val="000000" w:themeColor="text1"/>
                <w:szCs w:val="20"/>
                <w:lang w:val="ru-RU"/>
              </w:rPr>
            </w:pPr>
            <w:r w:rsidRPr="004C31C1">
              <w:rPr>
                <w:color w:val="000000" w:themeColor="text1"/>
                <w:szCs w:val="20"/>
              </w:rPr>
              <w:t>2 26</w:t>
            </w:r>
            <w:r w:rsidR="0005473D">
              <w:rPr>
                <w:color w:val="000000" w:themeColor="text1"/>
                <w:szCs w:val="20"/>
              </w:rPr>
              <w:t>8</w:t>
            </w:r>
          </w:p>
        </w:tc>
        <w:tc>
          <w:tcPr>
            <w:tcW w:w="1070" w:type="pct"/>
            <w:tcBorders>
              <w:top w:val="nil"/>
              <w:left w:val="nil"/>
              <w:bottom w:val="single" w:sz="4" w:space="0" w:color="auto"/>
              <w:right w:val="nil"/>
            </w:tcBorders>
            <w:shd w:val="clear" w:color="auto" w:fill="FFFFFF"/>
            <w:vAlign w:val="center"/>
          </w:tcPr>
          <w:p w14:paraId="09077B5A" w14:textId="15466A0B" w:rsidR="006B51C6" w:rsidRPr="004C31C1" w:rsidRDefault="006B51C6" w:rsidP="006B51C6">
            <w:pPr>
              <w:jc w:val="right"/>
              <w:rPr>
                <w:color w:val="000000" w:themeColor="text1"/>
                <w:szCs w:val="20"/>
              </w:rPr>
            </w:pPr>
            <w:r w:rsidRPr="004C31C1">
              <w:rPr>
                <w:color w:val="000000" w:themeColor="text1"/>
                <w:szCs w:val="20"/>
              </w:rPr>
              <w:t xml:space="preserve">2 118 </w:t>
            </w:r>
          </w:p>
        </w:tc>
      </w:tr>
      <w:tr w:rsidR="009B6985" w:rsidRPr="004C31C1" w14:paraId="27756E69" w14:textId="77777777" w:rsidTr="00E24E29">
        <w:trPr>
          <w:trHeight w:val="255"/>
        </w:trPr>
        <w:tc>
          <w:tcPr>
            <w:tcW w:w="2861" w:type="pct"/>
            <w:tcBorders>
              <w:top w:val="single" w:sz="4" w:space="0" w:color="auto"/>
              <w:left w:val="nil"/>
              <w:bottom w:val="nil"/>
              <w:right w:val="nil"/>
            </w:tcBorders>
            <w:shd w:val="clear" w:color="auto" w:fill="FFFFFF"/>
            <w:noWrap/>
            <w:vAlign w:val="bottom"/>
          </w:tcPr>
          <w:p w14:paraId="376B57E9" w14:textId="77777777" w:rsidR="00E24E29" w:rsidRPr="004C31C1" w:rsidRDefault="00E24E29" w:rsidP="00E24E29">
            <w:pPr>
              <w:jc w:val="left"/>
              <w:rPr>
                <w:b/>
                <w:bCs/>
                <w:color w:val="000000" w:themeColor="text1"/>
                <w:szCs w:val="20"/>
              </w:rPr>
            </w:pPr>
            <w:r w:rsidRPr="004C31C1">
              <w:rPr>
                <w:b/>
                <w:bCs/>
                <w:color w:val="000000" w:themeColor="text1"/>
                <w:szCs w:val="20"/>
              </w:rPr>
              <w:t>Разом:</w:t>
            </w:r>
          </w:p>
        </w:tc>
        <w:tc>
          <w:tcPr>
            <w:tcW w:w="1069" w:type="pct"/>
            <w:tcBorders>
              <w:top w:val="single" w:sz="4" w:space="0" w:color="auto"/>
              <w:left w:val="nil"/>
              <w:bottom w:val="nil"/>
              <w:right w:val="nil"/>
            </w:tcBorders>
            <w:shd w:val="clear" w:color="auto" w:fill="FFFFFF"/>
            <w:vAlign w:val="center"/>
          </w:tcPr>
          <w:p w14:paraId="2C184602" w14:textId="790D5D6C" w:rsidR="00E24E29" w:rsidRPr="004C31C1" w:rsidRDefault="004C31C1" w:rsidP="00D770DE">
            <w:pPr>
              <w:jc w:val="right"/>
              <w:rPr>
                <w:b/>
                <w:bCs/>
                <w:color w:val="000000" w:themeColor="text1"/>
                <w:szCs w:val="20"/>
                <w:lang w:val="en-US"/>
              </w:rPr>
            </w:pPr>
            <w:r w:rsidRPr="004C31C1">
              <w:rPr>
                <w:b/>
                <w:bCs/>
                <w:color w:val="000000" w:themeColor="text1"/>
                <w:szCs w:val="20"/>
              </w:rPr>
              <w:t>11 42</w:t>
            </w:r>
            <w:r w:rsidR="00D770DE">
              <w:rPr>
                <w:b/>
                <w:bCs/>
                <w:color w:val="000000" w:themeColor="text1"/>
                <w:szCs w:val="20"/>
              </w:rPr>
              <w:t>1</w:t>
            </w:r>
            <w:r w:rsidR="00E24E29" w:rsidRPr="004C31C1">
              <w:rPr>
                <w:b/>
                <w:bCs/>
                <w:color w:val="000000" w:themeColor="text1"/>
                <w:szCs w:val="20"/>
              </w:rPr>
              <w:t xml:space="preserve"> </w:t>
            </w:r>
          </w:p>
        </w:tc>
        <w:tc>
          <w:tcPr>
            <w:tcW w:w="1070" w:type="pct"/>
            <w:tcBorders>
              <w:top w:val="single" w:sz="4" w:space="0" w:color="auto"/>
              <w:left w:val="nil"/>
              <w:bottom w:val="nil"/>
              <w:right w:val="nil"/>
            </w:tcBorders>
            <w:shd w:val="clear" w:color="auto" w:fill="FFFFFF"/>
            <w:vAlign w:val="center"/>
          </w:tcPr>
          <w:p w14:paraId="3A4295B1" w14:textId="43A90F25" w:rsidR="00E24E29" w:rsidRPr="004C31C1" w:rsidRDefault="006B51C6" w:rsidP="00E24E29">
            <w:pPr>
              <w:jc w:val="right"/>
              <w:rPr>
                <w:b/>
                <w:bCs/>
                <w:color w:val="000000" w:themeColor="text1"/>
                <w:szCs w:val="20"/>
              </w:rPr>
            </w:pPr>
            <w:r w:rsidRPr="004C31C1">
              <w:rPr>
                <w:b/>
                <w:bCs/>
                <w:color w:val="000000" w:themeColor="text1"/>
                <w:szCs w:val="20"/>
              </w:rPr>
              <w:t>10 204</w:t>
            </w:r>
          </w:p>
        </w:tc>
      </w:tr>
    </w:tbl>
    <w:p w14:paraId="6E871D79" w14:textId="0ECA1CBB" w:rsidR="0064218D" w:rsidRPr="004C31C1" w:rsidRDefault="0064218D" w:rsidP="00467D04">
      <w:pPr>
        <w:spacing w:before="120" w:after="120"/>
        <w:rPr>
          <w:rFonts w:asciiTheme="minorHAnsi" w:hAnsiTheme="minorHAnsi" w:cstheme="minorHAnsi"/>
          <w:color w:val="000000" w:themeColor="text1"/>
          <w:szCs w:val="20"/>
        </w:rPr>
      </w:pPr>
    </w:p>
    <w:tbl>
      <w:tblPr>
        <w:tblW w:w="5000" w:type="pct"/>
        <w:tblLook w:val="00A0" w:firstRow="1" w:lastRow="0" w:firstColumn="1" w:lastColumn="0" w:noHBand="0" w:noVBand="0"/>
      </w:tblPr>
      <w:tblGrid>
        <w:gridCol w:w="5515"/>
        <w:gridCol w:w="2060"/>
        <w:gridCol w:w="2062"/>
      </w:tblGrid>
      <w:tr w:rsidR="009B6985" w:rsidRPr="004C31C1" w14:paraId="67F4A158" w14:textId="77777777" w:rsidTr="00971808">
        <w:trPr>
          <w:trHeight w:val="510"/>
          <w:tblHeader/>
        </w:trPr>
        <w:tc>
          <w:tcPr>
            <w:tcW w:w="2861" w:type="pct"/>
            <w:tcBorders>
              <w:left w:val="nil"/>
              <w:bottom w:val="single" w:sz="4" w:space="0" w:color="auto"/>
              <w:right w:val="nil"/>
            </w:tcBorders>
            <w:shd w:val="clear" w:color="auto" w:fill="FFFFFF"/>
            <w:noWrap/>
            <w:vAlign w:val="center"/>
          </w:tcPr>
          <w:p w14:paraId="50828E9C" w14:textId="7001406D" w:rsidR="008C614C" w:rsidRPr="004C31C1" w:rsidRDefault="00EB2E59" w:rsidP="009B6985">
            <w:pPr>
              <w:jc w:val="left"/>
              <w:rPr>
                <w:rFonts w:asciiTheme="minorHAnsi" w:hAnsiTheme="minorHAnsi" w:cstheme="minorHAnsi"/>
                <w:b/>
                <w:bCs/>
                <w:color w:val="000000" w:themeColor="text1"/>
                <w:szCs w:val="20"/>
              </w:rPr>
            </w:pPr>
            <w:r w:rsidRPr="004C31C1">
              <w:rPr>
                <w:rFonts w:asciiTheme="minorHAnsi" w:hAnsiTheme="minorHAnsi" w:cstheme="minorHAnsi"/>
                <w:b/>
                <w:bCs/>
                <w:color w:val="000000" w:themeColor="text1"/>
                <w:szCs w:val="20"/>
              </w:rPr>
              <w:lastRenderedPageBreak/>
              <w:t>2</w:t>
            </w:r>
            <w:r w:rsidR="009B6985" w:rsidRPr="004C31C1">
              <w:rPr>
                <w:rFonts w:asciiTheme="minorHAnsi" w:hAnsiTheme="minorHAnsi" w:cstheme="minorHAnsi"/>
                <w:b/>
                <w:bCs/>
                <w:color w:val="000000" w:themeColor="text1"/>
                <w:szCs w:val="20"/>
              </w:rPr>
              <w:t>1</w:t>
            </w:r>
            <w:r w:rsidR="008C614C" w:rsidRPr="004C31C1">
              <w:rPr>
                <w:rFonts w:asciiTheme="minorHAnsi" w:hAnsiTheme="minorHAnsi" w:cstheme="minorHAnsi"/>
                <w:b/>
                <w:bCs/>
                <w:color w:val="000000" w:themeColor="text1"/>
                <w:szCs w:val="20"/>
              </w:rPr>
              <w:t>.2 Витрати на персонал</w:t>
            </w:r>
          </w:p>
        </w:tc>
        <w:tc>
          <w:tcPr>
            <w:tcW w:w="1069" w:type="pct"/>
            <w:tcBorders>
              <w:left w:val="nil"/>
              <w:bottom w:val="single" w:sz="4" w:space="0" w:color="auto"/>
              <w:right w:val="nil"/>
            </w:tcBorders>
            <w:shd w:val="clear" w:color="auto" w:fill="FFFFFF"/>
            <w:vAlign w:val="center"/>
          </w:tcPr>
          <w:p w14:paraId="3BA5E6FD" w14:textId="77777777" w:rsidR="00AF3353" w:rsidRPr="004C31C1" w:rsidRDefault="008C614C" w:rsidP="00AF3353">
            <w:pPr>
              <w:jc w:val="right"/>
              <w:rPr>
                <w:rFonts w:asciiTheme="minorHAnsi" w:hAnsiTheme="minorHAnsi" w:cstheme="minorHAnsi"/>
                <w:b/>
                <w:bCs/>
                <w:color w:val="000000" w:themeColor="text1"/>
                <w:szCs w:val="20"/>
              </w:rPr>
            </w:pPr>
            <w:r w:rsidRPr="004C31C1">
              <w:rPr>
                <w:rFonts w:asciiTheme="minorHAnsi" w:hAnsiTheme="minorHAnsi" w:cstheme="minorHAnsi"/>
                <w:b/>
                <w:bCs/>
                <w:color w:val="000000" w:themeColor="text1"/>
                <w:szCs w:val="20"/>
              </w:rPr>
              <w:t xml:space="preserve">За рік, що </w:t>
            </w:r>
          </w:p>
          <w:p w14:paraId="669B5C76" w14:textId="51F49600" w:rsidR="008C614C" w:rsidRPr="004C31C1" w:rsidRDefault="008C614C" w:rsidP="002C7A7A">
            <w:pPr>
              <w:jc w:val="right"/>
              <w:rPr>
                <w:rFonts w:asciiTheme="minorHAnsi" w:hAnsiTheme="minorHAnsi" w:cstheme="minorHAnsi"/>
                <w:b/>
                <w:bCs/>
                <w:color w:val="000000" w:themeColor="text1"/>
                <w:szCs w:val="20"/>
                <w:lang w:val="ru-RU"/>
              </w:rPr>
            </w:pPr>
            <w:r w:rsidRPr="004C31C1">
              <w:rPr>
                <w:rFonts w:asciiTheme="minorHAnsi" w:hAnsiTheme="minorHAnsi" w:cstheme="minorHAnsi"/>
                <w:b/>
                <w:bCs/>
                <w:color w:val="000000" w:themeColor="text1"/>
                <w:szCs w:val="20"/>
              </w:rPr>
              <w:t>закінчився 31.12.20</w:t>
            </w:r>
            <w:r w:rsidR="004C31C1" w:rsidRPr="004C31C1">
              <w:rPr>
                <w:rFonts w:asciiTheme="minorHAnsi" w:hAnsiTheme="minorHAnsi" w:cstheme="minorHAnsi"/>
                <w:b/>
                <w:bCs/>
                <w:color w:val="000000" w:themeColor="text1"/>
                <w:szCs w:val="20"/>
              </w:rPr>
              <w:t>20</w:t>
            </w:r>
          </w:p>
        </w:tc>
        <w:tc>
          <w:tcPr>
            <w:tcW w:w="1070" w:type="pct"/>
            <w:tcBorders>
              <w:left w:val="nil"/>
              <w:bottom w:val="single" w:sz="4" w:space="0" w:color="auto"/>
              <w:right w:val="nil"/>
            </w:tcBorders>
            <w:shd w:val="clear" w:color="auto" w:fill="FFFFFF"/>
            <w:vAlign w:val="center"/>
          </w:tcPr>
          <w:p w14:paraId="713711ED" w14:textId="77777777" w:rsidR="00AF3353" w:rsidRPr="004C31C1" w:rsidRDefault="008C614C" w:rsidP="00AF3353">
            <w:pPr>
              <w:jc w:val="right"/>
              <w:rPr>
                <w:rFonts w:asciiTheme="minorHAnsi" w:hAnsiTheme="minorHAnsi" w:cstheme="minorHAnsi"/>
                <w:b/>
                <w:bCs/>
                <w:color w:val="000000" w:themeColor="text1"/>
                <w:szCs w:val="20"/>
              </w:rPr>
            </w:pPr>
            <w:r w:rsidRPr="004C31C1">
              <w:rPr>
                <w:rFonts w:asciiTheme="minorHAnsi" w:hAnsiTheme="minorHAnsi" w:cstheme="minorHAnsi"/>
                <w:b/>
                <w:bCs/>
                <w:color w:val="000000" w:themeColor="text1"/>
                <w:szCs w:val="20"/>
              </w:rPr>
              <w:t xml:space="preserve">За рік, що </w:t>
            </w:r>
          </w:p>
          <w:p w14:paraId="68B7A2FD" w14:textId="73296656" w:rsidR="008C614C" w:rsidRPr="004C31C1" w:rsidRDefault="008C614C" w:rsidP="006B51C6">
            <w:pPr>
              <w:jc w:val="right"/>
              <w:rPr>
                <w:rFonts w:asciiTheme="minorHAnsi" w:hAnsiTheme="minorHAnsi" w:cstheme="minorHAnsi"/>
                <w:b/>
                <w:bCs/>
                <w:color w:val="000000" w:themeColor="text1"/>
                <w:szCs w:val="20"/>
                <w:lang w:val="en-US"/>
              </w:rPr>
            </w:pPr>
            <w:r w:rsidRPr="004C31C1">
              <w:rPr>
                <w:rFonts w:asciiTheme="minorHAnsi" w:hAnsiTheme="minorHAnsi" w:cstheme="minorHAnsi"/>
                <w:b/>
                <w:bCs/>
                <w:color w:val="000000" w:themeColor="text1"/>
                <w:szCs w:val="20"/>
              </w:rPr>
              <w:t>закінчився 31.12.201</w:t>
            </w:r>
            <w:r w:rsidR="006B51C6" w:rsidRPr="004C31C1">
              <w:rPr>
                <w:rFonts w:asciiTheme="minorHAnsi" w:hAnsiTheme="minorHAnsi" w:cstheme="minorHAnsi"/>
                <w:b/>
                <w:bCs/>
                <w:color w:val="000000" w:themeColor="text1"/>
                <w:szCs w:val="20"/>
                <w:lang w:val="en-US"/>
              </w:rPr>
              <w:t>9</w:t>
            </w:r>
          </w:p>
        </w:tc>
      </w:tr>
      <w:tr w:rsidR="006B51C6" w:rsidRPr="004C31C1" w14:paraId="40A9BA29" w14:textId="77777777" w:rsidTr="00AF3353">
        <w:trPr>
          <w:trHeight w:val="255"/>
        </w:trPr>
        <w:tc>
          <w:tcPr>
            <w:tcW w:w="2861" w:type="pct"/>
            <w:tcBorders>
              <w:top w:val="nil"/>
              <w:left w:val="nil"/>
              <w:bottom w:val="nil"/>
              <w:right w:val="nil"/>
            </w:tcBorders>
            <w:shd w:val="clear" w:color="auto" w:fill="FFFFFF"/>
            <w:noWrap/>
            <w:vAlign w:val="bottom"/>
          </w:tcPr>
          <w:p w14:paraId="2EDE9A37" w14:textId="0B2AC12E" w:rsidR="006B51C6" w:rsidRPr="004C31C1" w:rsidRDefault="006B51C6" w:rsidP="006B51C6">
            <w:pPr>
              <w:pStyle w:val="af7"/>
              <w:spacing w:before="0" w:after="0"/>
              <w:jc w:val="left"/>
              <w:rPr>
                <w:rFonts w:asciiTheme="minorHAnsi" w:hAnsiTheme="minorHAnsi" w:cstheme="minorHAnsi"/>
                <w:color w:val="000000" w:themeColor="text1"/>
                <w:szCs w:val="20"/>
              </w:rPr>
            </w:pPr>
            <w:r w:rsidRPr="004C31C1">
              <w:rPr>
                <w:color w:val="000000" w:themeColor="text1"/>
                <w:szCs w:val="20"/>
              </w:rPr>
              <w:t xml:space="preserve">Заробітна плата </w:t>
            </w:r>
          </w:p>
        </w:tc>
        <w:tc>
          <w:tcPr>
            <w:tcW w:w="1069" w:type="pct"/>
            <w:tcBorders>
              <w:top w:val="nil"/>
              <w:left w:val="nil"/>
              <w:bottom w:val="nil"/>
              <w:right w:val="nil"/>
            </w:tcBorders>
            <w:shd w:val="clear" w:color="auto" w:fill="FFFFFF"/>
            <w:vAlign w:val="bottom"/>
          </w:tcPr>
          <w:p w14:paraId="2CCF0361" w14:textId="06CB9F31" w:rsidR="006B51C6" w:rsidRPr="004C31C1" w:rsidRDefault="00894933" w:rsidP="006B51C6">
            <w:pPr>
              <w:jc w:val="right"/>
              <w:rPr>
                <w:rFonts w:asciiTheme="minorHAnsi" w:hAnsiTheme="minorHAnsi" w:cstheme="minorHAnsi"/>
                <w:color w:val="000000" w:themeColor="text1"/>
                <w:szCs w:val="20"/>
                <w:lang w:val="ru-RU"/>
              </w:rPr>
            </w:pPr>
            <w:r>
              <w:rPr>
                <w:color w:val="000000" w:themeColor="text1"/>
                <w:szCs w:val="20"/>
              </w:rPr>
              <w:t>274 624</w:t>
            </w:r>
          </w:p>
        </w:tc>
        <w:tc>
          <w:tcPr>
            <w:tcW w:w="1070" w:type="pct"/>
            <w:tcBorders>
              <w:top w:val="nil"/>
              <w:left w:val="nil"/>
              <w:bottom w:val="nil"/>
              <w:right w:val="nil"/>
            </w:tcBorders>
            <w:shd w:val="clear" w:color="auto" w:fill="FFFFFF"/>
            <w:vAlign w:val="bottom"/>
          </w:tcPr>
          <w:p w14:paraId="1CC15A16" w14:textId="15DE121F" w:rsidR="006B51C6" w:rsidRPr="004C31C1" w:rsidRDefault="006B51C6" w:rsidP="006B51C6">
            <w:pPr>
              <w:jc w:val="right"/>
              <w:rPr>
                <w:rFonts w:asciiTheme="minorHAnsi" w:hAnsiTheme="minorHAnsi" w:cstheme="minorHAnsi"/>
                <w:color w:val="000000" w:themeColor="text1"/>
                <w:szCs w:val="20"/>
              </w:rPr>
            </w:pPr>
            <w:r w:rsidRPr="004C31C1">
              <w:rPr>
                <w:color w:val="000000" w:themeColor="text1"/>
                <w:szCs w:val="20"/>
              </w:rPr>
              <w:t>291 547</w:t>
            </w:r>
          </w:p>
        </w:tc>
      </w:tr>
      <w:tr w:rsidR="006B51C6" w:rsidRPr="004C31C1" w14:paraId="5B24F427" w14:textId="77777777" w:rsidTr="00AF3353">
        <w:trPr>
          <w:trHeight w:val="255"/>
        </w:trPr>
        <w:tc>
          <w:tcPr>
            <w:tcW w:w="2861" w:type="pct"/>
            <w:tcBorders>
              <w:top w:val="nil"/>
              <w:left w:val="nil"/>
              <w:bottom w:val="nil"/>
              <w:right w:val="nil"/>
            </w:tcBorders>
            <w:shd w:val="clear" w:color="auto" w:fill="FFFFFF"/>
            <w:noWrap/>
            <w:vAlign w:val="bottom"/>
          </w:tcPr>
          <w:p w14:paraId="22882E1D" w14:textId="0B1B5299" w:rsidR="006B51C6" w:rsidRPr="004C31C1" w:rsidRDefault="006B51C6" w:rsidP="006B51C6">
            <w:pPr>
              <w:pStyle w:val="af7"/>
              <w:spacing w:before="0" w:after="0"/>
              <w:jc w:val="left"/>
              <w:rPr>
                <w:color w:val="000000" w:themeColor="text1"/>
                <w:szCs w:val="20"/>
              </w:rPr>
            </w:pPr>
            <w:r w:rsidRPr="004C31C1">
              <w:rPr>
                <w:color w:val="000000" w:themeColor="text1"/>
                <w:szCs w:val="20"/>
              </w:rPr>
              <w:t>Інші соціальні витрати</w:t>
            </w:r>
          </w:p>
        </w:tc>
        <w:tc>
          <w:tcPr>
            <w:tcW w:w="1069" w:type="pct"/>
            <w:tcBorders>
              <w:top w:val="nil"/>
              <w:left w:val="nil"/>
              <w:bottom w:val="nil"/>
              <w:right w:val="nil"/>
            </w:tcBorders>
            <w:shd w:val="clear" w:color="auto" w:fill="FFFFFF"/>
            <w:vAlign w:val="bottom"/>
          </w:tcPr>
          <w:p w14:paraId="5D5DC36F" w14:textId="1A4C0661" w:rsidR="006B51C6" w:rsidRPr="00924AD3" w:rsidRDefault="00894933" w:rsidP="00C5354F">
            <w:pPr>
              <w:jc w:val="right"/>
              <w:rPr>
                <w:color w:val="000000" w:themeColor="text1"/>
                <w:szCs w:val="20"/>
              </w:rPr>
            </w:pPr>
            <w:r w:rsidRPr="00924AD3">
              <w:rPr>
                <w:color w:val="000000" w:themeColor="text1"/>
                <w:szCs w:val="20"/>
              </w:rPr>
              <w:t xml:space="preserve">53 </w:t>
            </w:r>
            <w:r w:rsidR="00C5354F" w:rsidRPr="00924AD3">
              <w:rPr>
                <w:color w:val="000000" w:themeColor="text1"/>
                <w:szCs w:val="20"/>
              </w:rPr>
              <w:t>956</w:t>
            </w:r>
          </w:p>
        </w:tc>
        <w:tc>
          <w:tcPr>
            <w:tcW w:w="1070" w:type="pct"/>
            <w:tcBorders>
              <w:top w:val="nil"/>
              <w:left w:val="nil"/>
              <w:bottom w:val="nil"/>
              <w:right w:val="nil"/>
            </w:tcBorders>
            <w:shd w:val="clear" w:color="auto" w:fill="FFFFFF"/>
            <w:vAlign w:val="bottom"/>
          </w:tcPr>
          <w:p w14:paraId="711F5C4D" w14:textId="13905747" w:rsidR="006B51C6" w:rsidRPr="004C31C1" w:rsidRDefault="006B51C6" w:rsidP="006B51C6">
            <w:pPr>
              <w:jc w:val="right"/>
              <w:rPr>
                <w:color w:val="000000" w:themeColor="text1"/>
                <w:szCs w:val="20"/>
              </w:rPr>
            </w:pPr>
            <w:r w:rsidRPr="004C31C1">
              <w:rPr>
                <w:color w:val="000000" w:themeColor="text1"/>
                <w:szCs w:val="20"/>
              </w:rPr>
              <w:t>56 015</w:t>
            </w:r>
          </w:p>
        </w:tc>
      </w:tr>
      <w:tr w:rsidR="006B51C6" w:rsidRPr="004C31C1" w14:paraId="5D271078" w14:textId="77777777" w:rsidTr="00AF3353">
        <w:trPr>
          <w:trHeight w:val="235"/>
        </w:trPr>
        <w:tc>
          <w:tcPr>
            <w:tcW w:w="2861" w:type="pct"/>
            <w:tcBorders>
              <w:top w:val="single" w:sz="4" w:space="0" w:color="auto"/>
              <w:left w:val="nil"/>
              <w:bottom w:val="nil"/>
              <w:right w:val="nil"/>
            </w:tcBorders>
            <w:shd w:val="clear" w:color="auto" w:fill="FFFFFF"/>
            <w:noWrap/>
            <w:vAlign w:val="bottom"/>
          </w:tcPr>
          <w:p w14:paraId="4A578B43" w14:textId="77777777" w:rsidR="006B51C6" w:rsidRPr="004C31C1" w:rsidRDefault="006B51C6" w:rsidP="006B51C6">
            <w:pPr>
              <w:jc w:val="left"/>
              <w:rPr>
                <w:rFonts w:asciiTheme="minorHAnsi" w:hAnsiTheme="minorHAnsi" w:cstheme="minorHAnsi"/>
                <w:b/>
                <w:bCs/>
                <w:color w:val="000000" w:themeColor="text1"/>
                <w:szCs w:val="20"/>
              </w:rPr>
            </w:pPr>
            <w:r w:rsidRPr="004C31C1">
              <w:rPr>
                <w:rFonts w:asciiTheme="minorHAnsi" w:hAnsiTheme="minorHAnsi" w:cstheme="minorHAnsi"/>
                <w:b/>
                <w:bCs/>
                <w:color w:val="000000" w:themeColor="text1"/>
                <w:szCs w:val="20"/>
              </w:rPr>
              <w:t>Разом:</w:t>
            </w:r>
          </w:p>
        </w:tc>
        <w:tc>
          <w:tcPr>
            <w:tcW w:w="1069" w:type="pct"/>
            <w:tcBorders>
              <w:top w:val="single" w:sz="4" w:space="0" w:color="auto"/>
              <w:left w:val="nil"/>
              <w:bottom w:val="nil"/>
              <w:right w:val="nil"/>
            </w:tcBorders>
            <w:shd w:val="clear" w:color="auto" w:fill="FFFFFF"/>
            <w:vAlign w:val="bottom"/>
          </w:tcPr>
          <w:p w14:paraId="1B867769" w14:textId="256CB7C7" w:rsidR="006B51C6" w:rsidRPr="00924AD3" w:rsidRDefault="00C5354F" w:rsidP="006B51C6">
            <w:pPr>
              <w:jc w:val="right"/>
              <w:rPr>
                <w:rFonts w:asciiTheme="minorHAnsi" w:hAnsiTheme="minorHAnsi" w:cstheme="minorHAnsi"/>
                <w:b/>
                <w:bCs/>
                <w:color w:val="000000" w:themeColor="text1"/>
                <w:szCs w:val="20"/>
                <w:lang w:val="ru-RU"/>
              </w:rPr>
            </w:pPr>
            <w:r w:rsidRPr="00924AD3">
              <w:rPr>
                <w:b/>
                <w:color w:val="000000" w:themeColor="text1"/>
                <w:szCs w:val="20"/>
              </w:rPr>
              <w:t>328 580</w:t>
            </w:r>
          </w:p>
        </w:tc>
        <w:tc>
          <w:tcPr>
            <w:tcW w:w="1070" w:type="pct"/>
            <w:tcBorders>
              <w:top w:val="single" w:sz="4" w:space="0" w:color="auto"/>
              <w:left w:val="nil"/>
              <w:bottom w:val="nil"/>
              <w:right w:val="nil"/>
            </w:tcBorders>
            <w:shd w:val="clear" w:color="auto" w:fill="FFFFFF"/>
            <w:vAlign w:val="bottom"/>
          </w:tcPr>
          <w:p w14:paraId="109FCA78" w14:textId="422FEE87" w:rsidR="006B51C6" w:rsidRPr="004C31C1" w:rsidRDefault="006B51C6" w:rsidP="006B51C6">
            <w:pPr>
              <w:jc w:val="right"/>
              <w:rPr>
                <w:rFonts w:asciiTheme="minorHAnsi" w:hAnsiTheme="minorHAnsi" w:cstheme="minorHAnsi"/>
                <w:b/>
                <w:bCs/>
                <w:color w:val="000000" w:themeColor="text1"/>
                <w:szCs w:val="20"/>
              </w:rPr>
            </w:pPr>
            <w:r w:rsidRPr="004C31C1">
              <w:rPr>
                <w:b/>
                <w:color w:val="000000" w:themeColor="text1"/>
                <w:szCs w:val="20"/>
              </w:rPr>
              <w:t>347 562</w:t>
            </w:r>
          </w:p>
        </w:tc>
      </w:tr>
    </w:tbl>
    <w:p w14:paraId="3EAFB23F" w14:textId="4F65DA3C" w:rsidR="00E064C4" w:rsidRPr="004C31C1" w:rsidRDefault="00E6234D" w:rsidP="00971808">
      <w:pPr>
        <w:pStyle w:val="1"/>
        <w:rPr>
          <w:color w:val="000000" w:themeColor="text1"/>
        </w:rPr>
      </w:pPr>
      <w:bookmarkStart w:id="131" w:name="_Toc68253975"/>
      <w:r w:rsidRPr="004C31C1">
        <w:rPr>
          <w:color w:val="000000" w:themeColor="text1"/>
        </w:rPr>
        <w:t>А</w:t>
      </w:r>
      <w:r w:rsidR="009B6985" w:rsidRPr="004C31C1">
        <w:rPr>
          <w:color w:val="000000" w:themeColor="text1"/>
        </w:rPr>
        <w:t>ктиви з права користування та зобов’язання з оренди</w:t>
      </w:r>
      <w:bookmarkEnd w:id="131"/>
    </w:p>
    <w:p w14:paraId="08D29F89" w14:textId="7B16C68A" w:rsidR="00971808" w:rsidRPr="00F00A3F" w:rsidRDefault="00971808" w:rsidP="00971808">
      <w:pPr>
        <w:rPr>
          <w:color w:val="000000" w:themeColor="text1"/>
        </w:rPr>
      </w:pPr>
      <w:r w:rsidRPr="00F00A3F">
        <w:rPr>
          <w:color w:val="000000" w:themeColor="text1"/>
        </w:rPr>
        <w:t>Договори оренди Компанії в основному стосуються оренди землі, складських та офісних приміщень, транспортних засобів та обладнання.</w:t>
      </w:r>
    </w:p>
    <w:p w14:paraId="33CB8389" w14:textId="2D86DB41" w:rsidR="00971808" w:rsidRPr="00F00A3F" w:rsidRDefault="00971808" w:rsidP="004A7ED7">
      <w:pPr>
        <w:spacing w:before="120" w:after="120"/>
        <w:rPr>
          <w:color w:val="000000" w:themeColor="text1"/>
        </w:rPr>
      </w:pPr>
      <w:r w:rsidRPr="00F00A3F">
        <w:rPr>
          <w:color w:val="000000" w:themeColor="text1"/>
        </w:rPr>
        <w:t>Станом на 31</w:t>
      </w:r>
      <w:r w:rsidR="0004211A" w:rsidRPr="00F00A3F">
        <w:rPr>
          <w:color w:val="000000" w:themeColor="text1"/>
        </w:rPr>
        <w:t>.</w:t>
      </w:r>
      <w:r w:rsidRPr="00F00A3F">
        <w:rPr>
          <w:color w:val="000000" w:themeColor="text1"/>
        </w:rPr>
        <w:t>12.20</w:t>
      </w:r>
      <w:r w:rsidR="00F00A3F" w:rsidRPr="00F00A3F">
        <w:rPr>
          <w:color w:val="000000" w:themeColor="text1"/>
        </w:rPr>
        <w:t>2</w:t>
      </w:r>
      <w:r w:rsidR="002A6091">
        <w:rPr>
          <w:color w:val="000000" w:themeColor="text1"/>
        </w:rPr>
        <w:t>0</w:t>
      </w:r>
      <w:r w:rsidRPr="00F00A3F">
        <w:rPr>
          <w:color w:val="000000" w:themeColor="text1"/>
        </w:rPr>
        <w:t xml:space="preserve"> року активи з права користування представлені таким чином:</w:t>
      </w:r>
    </w:p>
    <w:tbl>
      <w:tblPr>
        <w:tblW w:w="5000" w:type="pct"/>
        <w:tblLook w:val="00A0" w:firstRow="1" w:lastRow="0" w:firstColumn="1" w:lastColumn="0" w:noHBand="0" w:noVBand="0"/>
      </w:tblPr>
      <w:tblGrid>
        <w:gridCol w:w="3167"/>
        <w:gridCol w:w="1139"/>
        <w:gridCol w:w="1181"/>
        <w:gridCol w:w="1444"/>
        <w:gridCol w:w="1511"/>
        <w:gridCol w:w="1195"/>
      </w:tblGrid>
      <w:tr w:rsidR="00D4283A" w:rsidRPr="00F00A3F" w14:paraId="7432E50A" w14:textId="77777777" w:rsidTr="00D4283A">
        <w:trPr>
          <w:trHeight w:val="381"/>
          <w:tblHeader/>
        </w:trPr>
        <w:tc>
          <w:tcPr>
            <w:tcW w:w="1643" w:type="pct"/>
            <w:tcBorders>
              <w:left w:val="nil"/>
              <w:bottom w:val="single" w:sz="4" w:space="0" w:color="auto"/>
              <w:right w:val="nil"/>
            </w:tcBorders>
            <w:vAlign w:val="center"/>
          </w:tcPr>
          <w:p w14:paraId="7437CB73" w14:textId="36576046" w:rsidR="009B6985" w:rsidRPr="00F00A3F" w:rsidRDefault="009B6985" w:rsidP="00C45797">
            <w:pPr>
              <w:jc w:val="left"/>
              <w:rPr>
                <w:b/>
                <w:bCs/>
                <w:color w:val="000000" w:themeColor="text1"/>
                <w:szCs w:val="20"/>
              </w:rPr>
            </w:pPr>
            <w:r w:rsidRPr="00F00A3F">
              <w:rPr>
                <w:b/>
                <w:bCs/>
                <w:color w:val="000000" w:themeColor="text1"/>
                <w:szCs w:val="20"/>
              </w:rPr>
              <w:t>22.1 Рух активів з права користування по групах</w:t>
            </w:r>
          </w:p>
        </w:tc>
        <w:tc>
          <w:tcPr>
            <w:tcW w:w="591" w:type="pct"/>
            <w:tcBorders>
              <w:left w:val="nil"/>
              <w:bottom w:val="single" w:sz="4" w:space="0" w:color="auto"/>
              <w:right w:val="nil"/>
            </w:tcBorders>
            <w:vAlign w:val="center"/>
          </w:tcPr>
          <w:p w14:paraId="44B2B705" w14:textId="4D2E9C47" w:rsidR="009B6985" w:rsidRPr="00F00A3F" w:rsidRDefault="009B6985" w:rsidP="00746B32">
            <w:pPr>
              <w:jc w:val="right"/>
              <w:rPr>
                <w:b/>
                <w:bCs/>
                <w:color w:val="000000" w:themeColor="text1"/>
                <w:szCs w:val="20"/>
              </w:rPr>
            </w:pPr>
            <w:r w:rsidRPr="00F00A3F">
              <w:rPr>
                <w:b/>
                <w:bCs/>
                <w:color w:val="000000" w:themeColor="text1"/>
                <w:szCs w:val="20"/>
              </w:rPr>
              <w:t>Земельні ділянки</w:t>
            </w:r>
          </w:p>
        </w:tc>
        <w:tc>
          <w:tcPr>
            <w:tcW w:w="613" w:type="pct"/>
            <w:tcBorders>
              <w:left w:val="nil"/>
              <w:bottom w:val="single" w:sz="4" w:space="0" w:color="auto"/>
              <w:right w:val="nil"/>
            </w:tcBorders>
          </w:tcPr>
          <w:p w14:paraId="470BE843" w14:textId="7A951DB2" w:rsidR="009B6985" w:rsidRPr="00F00A3F" w:rsidRDefault="009B6985" w:rsidP="00746B32">
            <w:pPr>
              <w:jc w:val="right"/>
              <w:rPr>
                <w:b/>
                <w:color w:val="000000" w:themeColor="text1"/>
                <w:szCs w:val="20"/>
              </w:rPr>
            </w:pPr>
            <w:r w:rsidRPr="00F00A3F">
              <w:rPr>
                <w:b/>
                <w:color w:val="000000" w:themeColor="text1"/>
                <w:szCs w:val="20"/>
              </w:rPr>
              <w:t>Будинки та споруди</w:t>
            </w:r>
          </w:p>
        </w:tc>
        <w:tc>
          <w:tcPr>
            <w:tcW w:w="749" w:type="pct"/>
            <w:tcBorders>
              <w:left w:val="nil"/>
              <w:bottom w:val="single" w:sz="4" w:space="0" w:color="auto"/>
              <w:right w:val="nil"/>
            </w:tcBorders>
            <w:vAlign w:val="center"/>
          </w:tcPr>
          <w:p w14:paraId="1A9D177F" w14:textId="099227C2" w:rsidR="009B6985" w:rsidRPr="00F00A3F" w:rsidRDefault="009B6985" w:rsidP="00746B32">
            <w:pPr>
              <w:jc w:val="right"/>
              <w:rPr>
                <w:b/>
                <w:bCs/>
                <w:color w:val="000000" w:themeColor="text1"/>
                <w:szCs w:val="20"/>
              </w:rPr>
            </w:pPr>
            <w:r w:rsidRPr="00F00A3F">
              <w:rPr>
                <w:b/>
                <w:color w:val="000000" w:themeColor="text1"/>
                <w:szCs w:val="20"/>
              </w:rPr>
              <w:t>Транспортні засоби</w:t>
            </w:r>
          </w:p>
        </w:tc>
        <w:tc>
          <w:tcPr>
            <w:tcW w:w="784" w:type="pct"/>
            <w:tcBorders>
              <w:left w:val="nil"/>
              <w:bottom w:val="single" w:sz="4" w:space="0" w:color="auto"/>
              <w:right w:val="nil"/>
            </w:tcBorders>
            <w:vAlign w:val="center"/>
          </w:tcPr>
          <w:p w14:paraId="1B84ED46" w14:textId="7FF0EA4E" w:rsidR="009B6985" w:rsidRPr="00F00A3F" w:rsidRDefault="009B6985" w:rsidP="00746B32">
            <w:pPr>
              <w:jc w:val="right"/>
              <w:rPr>
                <w:b/>
                <w:bCs/>
                <w:color w:val="000000" w:themeColor="text1"/>
                <w:szCs w:val="20"/>
              </w:rPr>
            </w:pPr>
            <w:r w:rsidRPr="00F00A3F">
              <w:rPr>
                <w:b/>
                <w:bCs/>
                <w:color w:val="000000" w:themeColor="text1"/>
                <w:szCs w:val="20"/>
              </w:rPr>
              <w:t>Машини та обладнання</w:t>
            </w:r>
          </w:p>
        </w:tc>
        <w:tc>
          <w:tcPr>
            <w:tcW w:w="620" w:type="pct"/>
            <w:tcBorders>
              <w:left w:val="nil"/>
              <w:bottom w:val="single" w:sz="4" w:space="0" w:color="auto"/>
              <w:right w:val="nil"/>
            </w:tcBorders>
            <w:noWrap/>
            <w:vAlign w:val="center"/>
          </w:tcPr>
          <w:p w14:paraId="558F440F" w14:textId="02DE5893" w:rsidR="009B6985" w:rsidRPr="00F00A3F" w:rsidRDefault="009B6985" w:rsidP="00746B32">
            <w:pPr>
              <w:jc w:val="right"/>
              <w:rPr>
                <w:b/>
                <w:bCs/>
                <w:color w:val="000000" w:themeColor="text1"/>
                <w:szCs w:val="20"/>
              </w:rPr>
            </w:pPr>
            <w:r w:rsidRPr="00F00A3F">
              <w:rPr>
                <w:b/>
                <w:bCs/>
                <w:color w:val="000000" w:themeColor="text1"/>
                <w:szCs w:val="20"/>
              </w:rPr>
              <w:t>Разом</w:t>
            </w:r>
          </w:p>
        </w:tc>
      </w:tr>
      <w:tr w:rsidR="00557901" w:rsidRPr="00F00A3F" w14:paraId="519C0237" w14:textId="77777777" w:rsidTr="00557901">
        <w:trPr>
          <w:trHeight w:val="178"/>
          <w:tblHeader/>
        </w:trPr>
        <w:tc>
          <w:tcPr>
            <w:tcW w:w="1643" w:type="pct"/>
            <w:tcBorders>
              <w:left w:val="nil"/>
              <w:bottom w:val="single" w:sz="4" w:space="0" w:color="auto"/>
              <w:right w:val="nil"/>
            </w:tcBorders>
          </w:tcPr>
          <w:p w14:paraId="79DB5035" w14:textId="0B9315D9" w:rsidR="00557901" w:rsidRPr="00F00A3F" w:rsidRDefault="00557901" w:rsidP="00557901">
            <w:pPr>
              <w:jc w:val="left"/>
              <w:rPr>
                <w:b/>
                <w:bCs/>
                <w:color w:val="000000" w:themeColor="text1"/>
                <w:szCs w:val="20"/>
              </w:rPr>
            </w:pPr>
            <w:r w:rsidRPr="00D4283A">
              <w:rPr>
                <w:rFonts w:asciiTheme="minorHAnsi" w:hAnsiTheme="minorHAnsi" w:cstheme="minorHAnsi"/>
                <w:b/>
                <w:i/>
                <w:color w:val="000000" w:themeColor="text1"/>
                <w:szCs w:val="20"/>
              </w:rPr>
              <w:t>Станом на 01.01.2019</w:t>
            </w:r>
          </w:p>
        </w:tc>
        <w:tc>
          <w:tcPr>
            <w:tcW w:w="591" w:type="pct"/>
            <w:tcBorders>
              <w:left w:val="nil"/>
              <w:bottom w:val="single" w:sz="4" w:space="0" w:color="auto"/>
              <w:right w:val="nil"/>
            </w:tcBorders>
            <w:vAlign w:val="center"/>
          </w:tcPr>
          <w:p w14:paraId="6DA0FB16" w14:textId="77777777" w:rsidR="00557901" w:rsidRPr="00F00A3F" w:rsidRDefault="00557901" w:rsidP="00557901">
            <w:pPr>
              <w:jc w:val="right"/>
              <w:rPr>
                <w:b/>
                <w:bCs/>
                <w:color w:val="000000" w:themeColor="text1"/>
                <w:szCs w:val="20"/>
              </w:rPr>
            </w:pPr>
          </w:p>
        </w:tc>
        <w:tc>
          <w:tcPr>
            <w:tcW w:w="613" w:type="pct"/>
            <w:tcBorders>
              <w:left w:val="nil"/>
              <w:bottom w:val="single" w:sz="4" w:space="0" w:color="auto"/>
              <w:right w:val="nil"/>
            </w:tcBorders>
          </w:tcPr>
          <w:p w14:paraId="53CD6251" w14:textId="77777777" w:rsidR="00557901" w:rsidRPr="00F00A3F" w:rsidRDefault="00557901" w:rsidP="00557901">
            <w:pPr>
              <w:jc w:val="right"/>
              <w:rPr>
                <w:b/>
                <w:color w:val="000000" w:themeColor="text1"/>
                <w:szCs w:val="20"/>
              </w:rPr>
            </w:pPr>
          </w:p>
        </w:tc>
        <w:tc>
          <w:tcPr>
            <w:tcW w:w="749" w:type="pct"/>
            <w:tcBorders>
              <w:left w:val="nil"/>
              <w:bottom w:val="single" w:sz="4" w:space="0" w:color="auto"/>
              <w:right w:val="nil"/>
            </w:tcBorders>
            <w:vAlign w:val="center"/>
          </w:tcPr>
          <w:p w14:paraId="0941A9DA" w14:textId="77777777" w:rsidR="00557901" w:rsidRPr="00F00A3F" w:rsidRDefault="00557901" w:rsidP="00557901">
            <w:pPr>
              <w:jc w:val="right"/>
              <w:rPr>
                <w:b/>
                <w:color w:val="000000" w:themeColor="text1"/>
                <w:szCs w:val="20"/>
              </w:rPr>
            </w:pPr>
          </w:p>
        </w:tc>
        <w:tc>
          <w:tcPr>
            <w:tcW w:w="784" w:type="pct"/>
            <w:tcBorders>
              <w:left w:val="nil"/>
              <w:bottom w:val="single" w:sz="4" w:space="0" w:color="auto"/>
              <w:right w:val="nil"/>
            </w:tcBorders>
            <w:vAlign w:val="center"/>
          </w:tcPr>
          <w:p w14:paraId="371DBD4E" w14:textId="77777777" w:rsidR="00557901" w:rsidRPr="00F00A3F" w:rsidRDefault="00557901" w:rsidP="00557901">
            <w:pPr>
              <w:jc w:val="right"/>
              <w:rPr>
                <w:b/>
                <w:bCs/>
                <w:color w:val="000000" w:themeColor="text1"/>
                <w:szCs w:val="20"/>
              </w:rPr>
            </w:pPr>
          </w:p>
        </w:tc>
        <w:tc>
          <w:tcPr>
            <w:tcW w:w="620" w:type="pct"/>
            <w:tcBorders>
              <w:left w:val="nil"/>
              <w:bottom w:val="single" w:sz="4" w:space="0" w:color="auto"/>
              <w:right w:val="nil"/>
            </w:tcBorders>
            <w:noWrap/>
            <w:vAlign w:val="center"/>
          </w:tcPr>
          <w:p w14:paraId="0AF41A27" w14:textId="77777777" w:rsidR="00557901" w:rsidRPr="00F00A3F" w:rsidRDefault="00557901" w:rsidP="00557901">
            <w:pPr>
              <w:jc w:val="right"/>
              <w:rPr>
                <w:b/>
                <w:bCs/>
                <w:color w:val="000000" w:themeColor="text1"/>
                <w:szCs w:val="20"/>
              </w:rPr>
            </w:pPr>
          </w:p>
        </w:tc>
      </w:tr>
      <w:tr w:rsidR="00557901" w:rsidRPr="00F00A3F" w14:paraId="10A18FB4" w14:textId="77777777" w:rsidTr="00557901">
        <w:trPr>
          <w:trHeight w:val="81"/>
          <w:tblHeader/>
        </w:trPr>
        <w:tc>
          <w:tcPr>
            <w:tcW w:w="1643" w:type="pct"/>
            <w:tcBorders>
              <w:left w:val="nil"/>
              <w:bottom w:val="single" w:sz="4" w:space="0" w:color="auto"/>
              <w:right w:val="nil"/>
            </w:tcBorders>
            <w:vAlign w:val="center"/>
          </w:tcPr>
          <w:p w14:paraId="08645D0F" w14:textId="24B9D27E" w:rsidR="00557901" w:rsidRPr="00F00A3F" w:rsidRDefault="00557901" w:rsidP="00557901">
            <w:pPr>
              <w:jc w:val="left"/>
              <w:rPr>
                <w:b/>
                <w:bCs/>
                <w:color w:val="000000" w:themeColor="text1"/>
                <w:szCs w:val="20"/>
              </w:rPr>
            </w:pPr>
            <w:r w:rsidRPr="00D4283A">
              <w:rPr>
                <w:rFonts w:asciiTheme="minorHAnsi" w:hAnsiTheme="minorHAnsi" w:cstheme="minorHAnsi"/>
                <w:color w:val="000000" w:themeColor="text1"/>
                <w:szCs w:val="20"/>
              </w:rPr>
              <w:t>Первісна вартість</w:t>
            </w:r>
          </w:p>
        </w:tc>
        <w:tc>
          <w:tcPr>
            <w:tcW w:w="591" w:type="pct"/>
            <w:tcBorders>
              <w:left w:val="nil"/>
              <w:bottom w:val="single" w:sz="4" w:space="0" w:color="auto"/>
              <w:right w:val="nil"/>
            </w:tcBorders>
            <w:vAlign w:val="center"/>
          </w:tcPr>
          <w:p w14:paraId="0D52BE1A" w14:textId="07CCE925"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5 969 </w:t>
            </w:r>
          </w:p>
        </w:tc>
        <w:tc>
          <w:tcPr>
            <w:tcW w:w="613" w:type="pct"/>
            <w:tcBorders>
              <w:left w:val="nil"/>
              <w:bottom w:val="single" w:sz="4" w:space="0" w:color="auto"/>
              <w:right w:val="nil"/>
            </w:tcBorders>
            <w:vAlign w:val="center"/>
          </w:tcPr>
          <w:p w14:paraId="3A53A105" w14:textId="5B18DAD9"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15 437 </w:t>
            </w:r>
          </w:p>
        </w:tc>
        <w:tc>
          <w:tcPr>
            <w:tcW w:w="749" w:type="pct"/>
            <w:tcBorders>
              <w:left w:val="nil"/>
              <w:bottom w:val="single" w:sz="4" w:space="0" w:color="auto"/>
              <w:right w:val="nil"/>
            </w:tcBorders>
            <w:vAlign w:val="center"/>
          </w:tcPr>
          <w:p w14:paraId="355511C9" w14:textId="6390AFB1"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20 655 </w:t>
            </w:r>
          </w:p>
        </w:tc>
        <w:tc>
          <w:tcPr>
            <w:tcW w:w="784" w:type="pct"/>
            <w:tcBorders>
              <w:left w:val="nil"/>
              <w:bottom w:val="single" w:sz="4" w:space="0" w:color="auto"/>
              <w:right w:val="nil"/>
            </w:tcBorders>
            <w:vAlign w:val="center"/>
          </w:tcPr>
          <w:p w14:paraId="1B98251D" w14:textId="40B0F29E"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16 731 </w:t>
            </w:r>
          </w:p>
        </w:tc>
        <w:tc>
          <w:tcPr>
            <w:tcW w:w="620" w:type="pct"/>
            <w:tcBorders>
              <w:left w:val="nil"/>
              <w:bottom w:val="single" w:sz="4" w:space="0" w:color="auto"/>
              <w:right w:val="nil"/>
            </w:tcBorders>
            <w:noWrap/>
            <w:vAlign w:val="center"/>
          </w:tcPr>
          <w:p w14:paraId="36D47BE3" w14:textId="5F585EA7"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 xml:space="preserve">58 792 </w:t>
            </w:r>
          </w:p>
        </w:tc>
      </w:tr>
      <w:tr w:rsidR="00557901" w:rsidRPr="00F00A3F" w14:paraId="3BDF5498" w14:textId="77777777" w:rsidTr="00557901">
        <w:trPr>
          <w:trHeight w:val="128"/>
          <w:tblHeader/>
        </w:trPr>
        <w:tc>
          <w:tcPr>
            <w:tcW w:w="1643" w:type="pct"/>
            <w:tcBorders>
              <w:left w:val="nil"/>
              <w:bottom w:val="single" w:sz="4" w:space="0" w:color="auto"/>
              <w:right w:val="nil"/>
            </w:tcBorders>
            <w:vAlign w:val="center"/>
          </w:tcPr>
          <w:p w14:paraId="152E2D66" w14:textId="5C3422E7" w:rsidR="00557901" w:rsidRPr="00F00A3F" w:rsidRDefault="00557901" w:rsidP="00557901">
            <w:pPr>
              <w:jc w:val="left"/>
              <w:rPr>
                <w:b/>
                <w:bCs/>
                <w:color w:val="000000" w:themeColor="text1"/>
                <w:szCs w:val="20"/>
              </w:rPr>
            </w:pPr>
            <w:r w:rsidRPr="00D4283A">
              <w:rPr>
                <w:rFonts w:asciiTheme="minorHAnsi" w:hAnsiTheme="minorHAnsi" w:cstheme="minorHAnsi"/>
                <w:color w:val="000000" w:themeColor="text1"/>
                <w:szCs w:val="20"/>
              </w:rPr>
              <w:t>Накопичена амортизація</w:t>
            </w:r>
          </w:p>
        </w:tc>
        <w:tc>
          <w:tcPr>
            <w:tcW w:w="591" w:type="pct"/>
            <w:tcBorders>
              <w:left w:val="nil"/>
              <w:bottom w:val="single" w:sz="4" w:space="0" w:color="auto"/>
              <w:right w:val="nil"/>
            </w:tcBorders>
            <w:vAlign w:val="center"/>
          </w:tcPr>
          <w:p w14:paraId="27906B69" w14:textId="572BE9E2"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 </w:t>
            </w:r>
          </w:p>
        </w:tc>
        <w:tc>
          <w:tcPr>
            <w:tcW w:w="613" w:type="pct"/>
            <w:tcBorders>
              <w:left w:val="nil"/>
              <w:bottom w:val="single" w:sz="4" w:space="0" w:color="auto"/>
              <w:right w:val="nil"/>
            </w:tcBorders>
            <w:vAlign w:val="center"/>
          </w:tcPr>
          <w:p w14:paraId="6A756E50" w14:textId="4AB86781"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 </w:t>
            </w:r>
          </w:p>
        </w:tc>
        <w:tc>
          <w:tcPr>
            <w:tcW w:w="749" w:type="pct"/>
            <w:tcBorders>
              <w:left w:val="nil"/>
              <w:bottom w:val="single" w:sz="4" w:space="0" w:color="auto"/>
              <w:right w:val="nil"/>
            </w:tcBorders>
            <w:vAlign w:val="center"/>
          </w:tcPr>
          <w:p w14:paraId="3615E4BB" w14:textId="1F67A8FD"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 </w:t>
            </w:r>
          </w:p>
        </w:tc>
        <w:tc>
          <w:tcPr>
            <w:tcW w:w="784" w:type="pct"/>
            <w:tcBorders>
              <w:left w:val="nil"/>
              <w:bottom w:val="single" w:sz="4" w:space="0" w:color="auto"/>
              <w:right w:val="nil"/>
            </w:tcBorders>
            <w:vAlign w:val="center"/>
          </w:tcPr>
          <w:p w14:paraId="00F4A278" w14:textId="66CAC5AE"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 </w:t>
            </w:r>
          </w:p>
        </w:tc>
        <w:tc>
          <w:tcPr>
            <w:tcW w:w="620" w:type="pct"/>
            <w:tcBorders>
              <w:left w:val="nil"/>
              <w:bottom w:val="single" w:sz="4" w:space="0" w:color="auto"/>
              <w:right w:val="nil"/>
            </w:tcBorders>
            <w:noWrap/>
            <w:vAlign w:val="center"/>
          </w:tcPr>
          <w:p w14:paraId="4409827A" w14:textId="0C0E80E7"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 xml:space="preserve">- </w:t>
            </w:r>
          </w:p>
        </w:tc>
      </w:tr>
      <w:tr w:rsidR="00557901" w:rsidRPr="00F00A3F" w14:paraId="73500F24" w14:textId="77777777" w:rsidTr="00557901">
        <w:trPr>
          <w:trHeight w:val="174"/>
          <w:tblHeader/>
        </w:trPr>
        <w:tc>
          <w:tcPr>
            <w:tcW w:w="1643" w:type="pct"/>
            <w:tcBorders>
              <w:left w:val="nil"/>
              <w:bottom w:val="single" w:sz="4" w:space="0" w:color="auto"/>
              <w:right w:val="nil"/>
            </w:tcBorders>
            <w:vAlign w:val="center"/>
          </w:tcPr>
          <w:p w14:paraId="574D2D9B" w14:textId="2373C57B" w:rsidR="00557901" w:rsidRPr="00F00A3F" w:rsidRDefault="00557901" w:rsidP="00557901">
            <w:pPr>
              <w:jc w:val="left"/>
              <w:rPr>
                <w:b/>
                <w:bCs/>
                <w:color w:val="000000" w:themeColor="text1"/>
                <w:szCs w:val="20"/>
              </w:rPr>
            </w:pPr>
            <w:r w:rsidRPr="00D4283A">
              <w:rPr>
                <w:rFonts w:asciiTheme="minorHAnsi" w:hAnsiTheme="minorHAnsi" w:cstheme="minorHAnsi"/>
                <w:b/>
                <w:bCs/>
                <w:color w:val="000000" w:themeColor="text1"/>
                <w:szCs w:val="20"/>
              </w:rPr>
              <w:t>Чиста балансова вартість</w:t>
            </w:r>
          </w:p>
        </w:tc>
        <w:tc>
          <w:tcPr>
            <w:tcW w:w="591" w:type="pct"/>
            <w:tcBorders>
              <w:left w:val="nil"/>
              <w:bottom w:val="single" w:sz="4" w:space="0" w:color="auto"/>
              <w:right w:val="nil"/>
            </w:tcBorders>
            <w:vAlign w:val="center"/>
          </w:tcPr>
          <w:p w14:paraId="46DB692D" w14:textId="2B6BD5ED"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 xml:space="preserve">5 969 </w:t>
            </w:r>
          </w:p>
        </w:tc>
        <w:tc>
          <w:tcPr>
            <w:tcW w:w="613" w:type="pct"/>
            <w:tcBorders>
              <w:left w:val="nil"/>
              <w:bottom w:val="single" w:sz="4" w:space="0" w:color="auto"/>
              <w:right w:val="nil"/>
            </w:tcBorders>
            <w:vAlign w:val="center"/>
          </w:tcPr>
          <w:p w14:paraId="6A5EC354" w14:textId="62FAC18F" w:rsidR="00557901" w:rsidRPr="00F00A3F" w:rsidRDefault="00557901" w:rsidP="00557901">
            <w:pPr>
              <w:jc w:val="right"/>
              <w:rPr>
                <w:b/>
                <w:color w:val="000000" w:themeColor="text1"/>
                <w:szCs w:val="20"/>
              </w:rPr>
            </w:pPr>
            <w:r w:rsidRPr="00D4283A">
              <w:rPr>
                <w:rFonts w:asciiTheme="minorHAnsi" w:hAnsiTheme="minorHAnsi" w:cstheme="minorHAnsi"/>
                <w:b/>
                <w:bCs/>
                <w:color w:val="000000" w:themeColor="text1"/>
                <w:szCs w:val="20"/>
              </w:rPr>
              <w:t xml:space="preserve">15 437 </w:t>
            </w:r>
          </w:p>
        </w:tc>
        <w:tc>
          <w:tcPr>
            <w:tcW w:w="749" w:type="pct"/>
            <w:tcBorders>
              <w:left w:val="nil"/>
              <w:bottom w:val="single" w:sz="4" w:space="0" w:color="auto"/>
              <w:right w:val="nil"/>
            </w:tcBorders>
            <w:vAlign w:val="center"/>
          </w:tcPr>
          <w:p w14:paraId="50786181" w14:textId="48E06A55" w:rsidR="00557901" w:rsidRPr="00F00A3F" w:rsidRDefault="00557901" w:rsidP="00557901">
            <w:pPr>
              <w:jc w:val="right"/>
              <w:rPr>
                <w:b/>
                <w:color w:val="000000" w:themeColor="text1"/>
                <w:szCs w:val="20"/>
              </w:rPr>
            </w:pPr>
            <w:r w:rsidRPr="00D4283A">
              <w:rPr>
                <w:rFonts w:asciiTheme="minorHAnsi" w:hAnsiTheme="minorHAnsi" w:cstheme="minorHAnsi"/>
                <w:b/>
                <w:bCs/>
                <w:color w:val="000000" w:themeColor="text1"/>
                <w:szCs w:val="20"/>
              </w:rPr>
              <w:t xml:space="preserve">20 655 </w:t>
            </w:r>
          </w:p>
        </w:tc>
        <w:tc>
          <w:tcPr>
            <w:tcW w:w="784" w:type="pct"/>
            <w:tcBorders>
              <w:left w:val="nil"/>
              <w:bottom w:val="single" w:sz="4" w:space="0" w:color="auto"/>
              <w:right w:val="nil"/>
            </w:tcBorders>
            <w:vAlign w:val="center"/>
          </w:tcPr>
          <w:p w14:paraId="35417299" w14:textId="645C217C"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 xml:space="preserve">16 731 </w:t>
            </w:r>
          </w:p>
        </w:tc>
        <w:tc>
          <w:tcPr>
            <w:tcW w:w="620" w:type="pct"/>
            <w:tcBorders>
              <w:left w:val="nil"/>
              <w:bottom w:val="single" w:sz="4" w:space="0" w:color="auto"/>
              <w:right w:val="nil"/>
            </w:tcBorders>
            <w:noWrap/>
            <w:vAlign w:val="center"/>
          </w:tcPr>
          <w:p w14:paraId="2AD61E2B" w14:textId="3D7D6D63"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 xml:space="preserve">58 792 </w:t>
            </w:r>
          </w:p>
        </w:tc>
      </w:tr>
      <w:tr w:rsidR="00557901" w:rsidRPr="00F00A3F" w14:paraId="753618AA" w14:textId="77777777" w:rsidTr="00557901">
        <w:trPr>
          <w:trHeight w:val="58"/>
          <w:tblHeader/>
        </w:trPr>
        <w:tc>
          <w:tcPr>
            <w:tcW w:w="1643" w:type="pct"/>
            <w:tcBorders>
              <w:left w:val="nil"/>
              <w:bottom w:val="single" w:sz="4" w:space="0" w:color="auto"/>
              <w:right w:val="nil"/>
            </w:tcBorders>
            <w:vAlign w:val="center"/>
          </w:tcPr>
          <w:p w14:paraId="3E60776F" w14:textId="77777777" w:rsidR="00557901" w:rsidRPr="00F00A3F" w:rsidRDefault="00557901" w:rsidP="00557901">
            <w:pPr>
              <w:jc w:val="left"/>
              <w:rPr>
                <w:b/>
                <w:bCs/>
                <w:color w:val="000000" w:themeColor="text1"/>
                <w:szCs w:val="20"/>
              </w:rPr>
            </w:pPr>
          </w:p>
        </w:tc>
        <w:tc>
          <w:tcPr>
            <w:tcW w:w="591" w:type="pct"/>
            <w:tcBorders>
              <w:left w:val="nil"/>
              <w:bottom w:val="single" w:sz="4" w:space="0" w:color="auto"/>
              <w:right w:val="nil"/>
            </w:tcBorders>
            <w:vAlign w:val="center"/>
          </w:tcPr>
          <w:p w14:paraId="15D2C28E" w14:textId="77777777" w:rsidR="00557901" w:rsidRPr="00F00A3F" w:rsidRDefault="00557901" w:rsidP="00557901">
            <w:pPr>
              <w:jc w:val="right"/>
              <w:rPr>
                <w:b/>
                <w:bCs/>
                <w:color w:val="000000" w:themeColor="text1"/>
                <w:szCs w:val="20"/>
              </w:rPr>
            </w:pPr>
          </w:p>
        </w:tc>
        <w:tc>
          <w:tcPr>
            <w:tcW w:w="613" w:type="pct"/>
            <w:tcBorders>
              <w:left w:val="nil"/>
              <w:bottom w:val="single" w:sz="4" w:space="0" w:color="auto"/>
              <w:right w:val="nil"/>
            </w:tcBorders>
          </w:tcPr>
          <w:p w14:paraId="517E8445" w14:textId="77777777" w:rsidR="00557901" w:rsidRPr="00F00A3F" w:rsidRDefault="00557901" w:rsidP="00557901">
            <w:pPr>
              <w:jc w:val="right"/>
              <w:rPr>
                <w:b/>
                <w:color w:val="000000" w:themeColor="text1"/>
                <w:szCs w:val="20"/>
              </w:rPr>
            </w:pPr>
          </w:p>
        </w:tc>
        <w:tc>
          <w:tcPr>
            <w:tcW w:w="749" w:type="pct"/>
            <w:tcBorders>
              <w:left w:val="nil"/>
              <w:bottom w:val="single" w:sz="4" w:space="0" w:color="auto"/>
              <w:right w:val="nil"/>
            </w:tcBorders>
            <w:vAlign w:val="center"/>
          </w:tcPr>
          <w:p w14:paraId="7DA53E3A" w14:textId="77777777" w:rsidR="00557901" w:rsidRPr="00F00A3F" w:rsidRDefault="00557901" w:rsidP="00557901">
            <w:pPr>
              <w:jc w:val="right"/>
              <w:rPr>
                <w:b/>
                <w:color w:val="000000" w:themeColor="text1"/>
                <w:szCs w:val="20"/>
              </w:rPr>
            </w:pPr>
          </w:p>
        </w:tc>
        <w:tc>
          <w:tcPr>
            <w:tcW w:w="784" w:type="pct"/>
            <w:tcBorders>
              <w:left w:val="nil"/>
              <w:bottom w:val="single" w:sz="4" w:space="0" w:color="auto"/>
              <w:right w:val="nil"/>
            </w:tcBorders>
            <w:vAlign w:val="center"/>
          </w:tcPr>
          <w:p w14:paraId="47513E3E" w14:textId="77777777" w:rsidR="00557901" w:rsidRPr="00F00A3F" w:rsidRDefault="00557901" w:rsidP="00557901">
            <w:pPr>
              <w:jc w:val="right"/>
              <w:rPr>
                <w:b/>
                <w:bCs/>
                <w:color w:val="000000" w:themeColor="text1"/>
                <w:szCs w:val="20"/>
              </w:rPr>
            </w:pPr>
          </w:p>
        </w:tc>
        <w:tc>
          <w:tcPr>
            <w:tcW w:w="620" w:type="pct"/>
            <w:tcBorders>
              <w:left w:val="nil"/>
              <w:bottom w:val="single" w:sz="4" w:space="0" w:color="auto"/>
              <w:right w:val="nil"/>
            </w:tcBorders>
            <w:noWrap/>
            <w:vAlign w:val="center"/>
          </w:tcPr>
          <w:p w14:paraId="12CD9E14" w14:textId="77777777" w:rsidR="00557901" w:rsidRPr="00F00A3F" w:rsidRDefault="00557901" w:rsidP="00557901">
            <w:pPr>
              <w:jc w:val="right"/>
              <w:rPr>
                <w:b/>
                <w:bCs/>
                <w:color w:val="000000" w:themeColor="text1"/>
                <w:szCs w:val="20"/>
              </w:rPr>
            </w:pPr>
          </w:p>
        </w:tc>
      </w:tr>
      <w:tr w:rsidR="00557901" w:rsidRPr="00F00A3F" w14:paraId="39CAEFB0" w14:textId="77777777" w:rsidTr="00557901">
        <w:trPr>
          <w:trHeight w:val="58"/>
          <w:tblHeader/>
        </w:trPr>
        <w:tc>
          <w:tcPr>
            <w:tcW w:w="1643" w:type="pct"/>
            <w:tcBorders>
              <w:left w:val="nil"/>
              <w:bottom w:val="single" w:sz="4" w:space="0" w:color="auto"/>
              <w:right w:val="nil"/>
            </w:tcBorders>
            <w:vAlign w:val="center"/>
          </w:tcPr>
          <w:p w14:paraId="2739AFDA" w14:textId="5145D492" w:rsidR="00557901" w:rsidRPr="00F00A3F" w:rsidRDefault="00557901" w:rsidP="00557901">
            <w:pPr>
              <w:jc w:val="left"/>
              <w:rPr>
                <w:b/>
                <w:bCs/>
                <w:color w:val="000000" w:themeColor="text1"/>
                <w:szCs w:val="20"/>
              </w:rPr>
            </w:pPr>
            <w:r w:rsidRPr="00D4283A">
              <w:rPr>
                <w:rFonts w:asciiTheme="minorHAnsi" w:hAnsiTheme="minorHAnsi" w:cstheme="minorHAnsi"/>
                <w:color w:val="000000" w:themeColor="text1"/>
                <w:szCs w:val="20"/>
              </w:rPr>
              <w:t>Вибуття</w:t>
            </w:r>
          </w:p>
        </w:tc>
        <w:tc>
          <w:tcPr>
            <w:tcW w:w="591" w:type="pct"/>
            <w:tcBorders>
              <w:left w:val="nil"/>
              <w:bottom w:val="single" w:sz="4" w:space="0" w:color="auto"/>
              <w:right w:val="nil"/>
            </w:tcBorders>
            <w:vAlign w:val="center"/>
          </w:tcPr>
          <w:p w14:paraId="6B1BF484" w14:textId="7EF8BA14"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 </w:t>
            </w:r>
          </w:p>
        </w:tc>
        <w:tc>
          <w:tcPr>
            <w:tcW w:w="613" w:type="pct"/>
            <w:tcBorders>
              <w:left w:val="nil"/>
              <w:bottom w:val="single" w:sz="4" w:space="0" w:color="auto"/>
              <w:right w:val="nil"/>
            </w:tcBorders>
            <w:vAlign w:val="center"/>
          </w:tcPr>
          <w:p w14:paraId="2A80603E" w14:textId="270797B0"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 </w:t>
            </w:r>
          </w:p>
        </w:tc>
        <w:tc>
          <w:tcPr>
            <w:tcW w:w="749" w:type="pct"/>
            <w:tcBorders>
              <w:left w:val="nil"/>
              <w:bottom w:val="single" w:sz="4" w:space="0" w:color="auto"/>
              <w:right w:val="nil"/>
            </w:tcBorders>
            <w:vAlign w:val="center"/>
          </w:tcPr>
          <w:p w14:paraId="19F900C5" w14:textId="69530FAE"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(73</w:t>
            </w:r>
            <w:r>
              <w:rPr>
                <w:rFonts w:asciiTheme="minorHAnsi" w:hAnsiTheme="minorHAnsi" w:cstheme="minorHAnsi"/>
                <w:color w:val="000000" w:themeColor="text1"/>
                <w:szCs w:val="20"/>
              </w:rPr>
              <w:t>4</w:t>
            </w:r>
            <w:r w:rsidRPr="00D4283A">
              <w:rPr>
                <w:rFonts w:asciiTheme="minorHAnsi" w:hAnsiTheme="minorHAnsi" w:cstheme="minorHAnsi"/>
                <w:color w:val="000000" w:themeColor="text1"/>
                <w:szCs w:val="20"/>
              </w:rPr>
              <w:t>)</w:t>
            </w:r>
          </w:p>
        </w:tc>
        <w:tc>
          <w:tcPr>
            <w:tcW w:w="784" w:type="pct"/>
            <w:tcBorders>
              <w:left w:val="nil"/>
              <w:bottom w:val="single" w:sz="4" w:space="0" w:color="auto"/>
              <w:right w:val="nil"/>
            </w:tcBorders>
            <w:vAlign w:val="center"/>
          </w:tcPr>
          <w:p w14:paraId="009F3BAB" w14:textId="328D70C3"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 </w:t>
            </w:r>
          </w:p>
        </w:tc>
        <w:tc>
          <w:tcPr>
            <w:tcW w:w="620" w:type="pct"/>
            <w:tcBorders>
              <w:left w:val="nil"/>
              <w:bottom w:val="single" w:sz="4" w:space="0" w:color="auto"/>
              <w:right w:val="nil"/>
            </w:tcBorders>
            <w:noWrap/>
            <w:vAlign w:val="center"/>
          </w:tcPr>
          <w:p w14:paraId="77C0C823" w14:textId="772BA78D"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(73</w:t>
            </w:r>
            <w:r>
              <w:rPr>
                <w:rFonts w:asciiTheme="minorHAnsi" w:hAnsiTheme="minorHAnsi" w:cstheme="minorHAnsi"/>
                <w:b/>
                <w:bCs/>
                <w:color w:val="000000" w:themeColor="text1"/>
                <w:szCs w:val="20"/>
              </w:rPr>
              <w:t>4</w:t>
            </w:r>
            <w:r w:rsidRPr="00D4283A">
              <w:rPr>
                <w:rFonts w:asciiTheme="minorHAnsi" w:hAnsiTheme="minorHAnsi" w:cstheme="minorHAnsi"/>
                <w:b/>
                <w:bCs/>
                <w:color w:val="000000" w:themeColor="text1"/>
                <w:szCs w:val="20"/>
              </w:rPr>
              <w:t>)</w:t>
            </w:r>
          </w:p>
        </w:tc>
      </w:tr>
      <w:tr w:rsidR="00557901" w:rsidRPr="00F00A3F" w14:paraId="32D813AB" w14:textId="77777777" w:rsidTr="00557901">
        <w:trPr>
          <w:trHeight w:val="58"/>
          <w:tblHeader/>
        </w:trPr>
        <w:tc>
          <w:tcPr>
            <w:tcW w:w="1643" w:type="pct"/>
            <w:tcBorders>
              <w:left w:val="nil"/>
              <w:bottom w:val="single" w:sz="4" w:space="0" w:color="auto"/>
              <w:right w:val="nil"/>
            </w:tcBorders>
            <w:vAlign w:val="center"/>
          </w:tcPr>
          <w:p w14:paraId="2E35C43B" w14:textId="60C7CDB2" w:rsidR="00557901" w:rsidRPr="00F00A3F" w:rsidRDefault="00557901" w:rsidP="00557901">
            <w:pPr>
              <w:jc w:val="left"/>
              <w:rPr>
                <w:b/>
                <w:bCs/>
                <w:color w:val="000000" w:themeColor="text1"/>
                <w:szCs w:val="20"/>
              </w:rPr>
            </w:pPr>
            <w:r w:rsidRPr="00D4283A">
              <w:rPr>
                <w:rFonts w:asciiTheme="minorHAnsi" w:hAnsiTheme="minorHAnsi" w:cstheme="minorHAnsi"/>
                <w:color w:val="000000" w:themeColor="text1"/>
                <w:szCs w:val="20"/>
              </w:rPr>
              <w:t>Вибуття амортизації</w:t>
            </w:r>
          </w:p>
        </w:tc>
        <w:tc>
          <w:tcPr>
            <w:tcW w:w="591" w:type="pct"/>
            <w:tcBorders>
              <w:left w:val="nil"/>
              <w:bottom w:val="single" w:sz="4" w:space="0" w:color="auto"/>
              <w:right w:val="nil"/>
            </w:tcBorders>
            <w:vAlign w:val="center"/>
          </w:tcPr>
          <w:p w14:paraId="5FB5D3AA" w14:textId="6C2B2112"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224 </w:t>
            </w:r>
          </w:p>
        </w:tc>
        <w:tc>
          <w:tcPr>
            <w:tcW w:w="613" w:type="pct"/>
            <w:tcBorders>
              <w:left w:val="nil"/>
              <w:bottom w:val="single" w:sz="4" w:space="0" w:color="auto"/>
              <w:right w:val="nil"/>
            </w:tcBorders>
            <w:vAlign w:val="center"/>
          </w:tcPr>
          <w:p w14:paraId="5D85FE7E" w14:textId="4DA08F99"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 </w:t>
            </w:r>
          </w:p>
        </w:tc>
        <w:tc>
          <w:tcPr>
            <w:tcW w:w="749" w:type="pct"/>
            <w:tcBorders>
              <w:left w:val="nil"/>
              <w:bottom w:val="single" w:sz="4" w:space="0" w:color="auto"/>
              <w:right w:val="nil"/>
            </w:tcBorders>
            <w:vAlign w:val="center"/>
          </w:tcPr>
          <w:p w14:paraId="78810A87" w14:textId="23B1B554"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 xml:space="preserve">57 </w:t>
            </w:r>
          </w:p>
        </w:tc>
        <w:tc>
          <w:tcPr>
            <w:tcW w:w="784" w:type="pct"/>
            <w:tcBorders>
              <w:left w:val="nil"/>
              <w:bottom w:val="single" w:sz="4" w:space="0" w:color="auto"/>
              <w:right w:val="nil"/>
            </w:tcBorders>
            <w:vAlign w:val="center"/>
          </w:tcPr>
          <w:p w14:paraId="097DC652" w14:textId="73861BB3"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 xml:space="preserve">- </w:t>
            </w:r>
          </w:p>
        </w:tc>
        <w:tc>
          <w:tcPr>
            <w:tcW w:w="620" w:type="pct"/>
            <w:tcBorders>
              <w:left w:val="nil"/>
              <w:bottom w:val="single" w:sz="4" w:space="0" w:color="auto"/>
              <w:right w:val="nil"/>
            </w:tcBorders>
            <w:noWrap/>
            <w:vAlign w:val="center"/>
          </w:tcPr>
          <w:p w14:paraId="392DF335" w14:textId="7AE1871A"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 xml:space="preserve">281 </w:t>
            </w:r>
          </w:p>
        </w:tc>
      </w:tr>
      <w:tr w:rsidR="00557901" w:rsidRPr="00F00A3F" w14:paraId="7BC36728" w14:textId="77777777" w:rsidTr="00557901">
        <w:trPr>
          <w:trHeight w:val="60"/>
          <w:tblHeader/>
        </w:trPr>
        <w:tc>
          <w:tcPr>
            <w:tcW w:w="1643" w:type="pct"/>
            <w:tcBorders>
              <w:left w:val="nil"/>
              <w:bottom w:val="single" w:sz="4" w:space="0" w:color="auto"/>
              <w:right w:val="nil"/>
            </w:tcBorders>
            <w:vAlign w:val="center"/>
          </w:tcPr>
          <w:p w14:paraId="46E26CDF" w14:textId="3908F1FF" w:rsidR="00557901" w:rsidRPr="00F00A3F" w:rsidRDefault="00557901" w:rsidP="00557901">
            <w:pPr>
              <w:jc w:val="left"/>
              <w:rPr>
                <w:b/>
                <w:bCs/>
                <w:color w:val="000000" w:themeColor="text1"/>
                <w:szCs w:val="20"/>
              </w:rPr>
            </w:pPr>
            <w:r w:rsidRPr="00D4283A">
              <w:rPr>
                <w:rFonts w:asciiTheme="minorHAnsi" w:hAnsiTheme="minorHAnsi" w:cstheme="minorHAnsi"/>
                <w:color w:val="000000" w:themeColor="text1"/>
                <w:szCs w:val="20"/>
              </w:rPr>
              <w:t>Амортизаційні відрахування</w:t>
            </w:r>
          </w:p>
        </w:tc>
        <w:tc>
          <w:tcPr>
            <w:tcW w:w="591" w:type="pct"/>
            <w:tcBorders>
              <w:left w:val="nil"/>
              <w:bottom w:val="single" w:sz="4" w:space="0" w:color="auto"/>
              <w:right w:val="nil"/>
            </w:tcBorders>
            <w:vAlign w:val="center"/>
          </w:tcPr>
          <w:p w14:paraId="777778B8" w14:textId="27389FBA"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(2 778)</w:t>
            </w:r>
          </w:p>
        </w:tc>
        <w:tc>
          <w:tcPr>
            <w:tcW w:w="613" w:type="pct"/>
            <w:tcBorders>
              <w:left w:val="nil"/>
              <w:bottom w:val="single" w:sz="4" w:space="0" w:color="auto"/>
              <w:right w:val="nil"/>
            </w:tcBorders>
            <w:vAlign w:val="center"/>
          </w:tcPr>
          <w:p w14:paraId="3D5F1AF0" w14:textId="42545F1D"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(6 414)</w:t>
            </w:r>
          </w:p>
        </w:tc>
        <w:tc>
          <w:tcPr>
            <w:tcW w:w="749" w:type="pct"/>
            <w:tcBorders>
              <w:left w:val="nil"/>
              <w:bottom w:val="single" w:sz="4" w:space="0" w:color="auto"/>
              <w:right w:val="nil"/>
            </w:tcBorders>
            <w:vAlign w:val="center"/>
          </w:tcPr>
          <w:p w14:paraId="049938D7" w14:textId="39D1AC62" w:rsidR="00557901" w:rsidRPr="00F00A3F" w:rsidRDefault="00557901" w:rsidP="00557901">
            <w:pPr>
              <w:jc w:val="right"/>
              <w:rPr>
                <w:b/>
                <w:color w:val="000000" w:themeColor="text1"/>
                <w:szCs w:val="20"/>
              </w:rPr>
            </w:pPr>
            <w:r w:rsidRPr="00D4283A">
              <w:rPr>
                <w:rFonts w:asciiTheme="minorHAnsi" w:hAnsiTheme="minorHAnsi" w:cstheme="minorHAnsi"/>
                <w:color w:val="000000" w:themeColor="text1"/>
                <w:szCs w:val="20"/>
              </w:rPr>
              <w:t>(5 416)</w:t>
            </w:r>
          </w:p>
        </w:tc>
        <w:tc>
          <w:tcPr>
            <w:tcW w:w="784" w:type="pct"/>
            <w:tcBorders>
              <w:left w:val="nil"/>
              <w:bottom w:val="single" w:sz="4" w:space="0" w:color="auto"/>
              <w:right w:val="nil"/>
            </w:tcBorders>
            <w:vAlign w:val="center"/>
          </w:tcPr>
          <w:p w14:paraId="052646CF" w14:textId="3BCF0511" w:rsidR="00557901" w:rsidRPr="00F00A3F" w:rsidRDefault="00557901" w:rsidP="00557901">
            <w:pPr>
              <w:jc w:val="right"/>
              <w:rPr>
                <w:b/>
                <w:bCs/>
                <w:color w:val="000000" w:themeColor="text1"/>
                <w:szCs w:val="20"/>
              </w:rPr>
            </w:pPr>
            <w:r w:rsidRPr="00D4283A">
              <w:rPr>
                <w:rFonts w:asciiTheme="minorHAnsi" w:hAnsiTheme="minorHAnsi" w:cstheme="minorHAnsi"/>
                <w:color w:val="000000" w:themeColor="text1"/>
                <w:szCs w:val="20"/>
              </w:rPr>
              <w:t>(2 452)</w:t>
            </w:r>
          </w:p>
        </w:tc>
        <w:tc>
          <w:tcPr>
            <w:tcW w:w="620" w:type="pct"/>
            <w:tcBorders>
              <w:left w:val="nil"/>
              <w:bottom w:val="single" w:sz="4" w:space="0" w:color="auto"/>
              <w:right w:val="nil"/>
            </w:tcBorders>
            <w:noWrap/>
            <w:vAlign w:val="center"/>
          </w:tcPr>
          <w:p w14:paraId="2877173E" w14:textId="1002325F" w:rsidR="00557901" w:rsidRPr="00F00A3F" w:rsidRDefault="00557901" w:rsidP="00557901">
            <w:pPr>
              <w:jc w:val="right"/>
              <w:rPr>
                <w:b/>
                <w:bCs/>
                <w:color w:val="000000" w:themeColor="text1"/>
                <w:szCs w:val="20"/>
              </w:rPr>
            </w:pPr>
            <w:r w:rsidRPr="00D4283A">
              <w:rPr>
                <w:rFonts w:asciiTheme="minorHAnsi" w:hAnsiTheme="minorHAnsi" w:cstheme="minorHAnsi"/>
                <w:b/>
                <w:bCs/>
                <w:color w:val="000000" w:themeColor="text1"/>
                <w:szCs w:val="20"/>
              </w:rPr>
              <w:t>(17 060)</w:t>
            </w:r>
          </w:p>
        </w:tc>
      </w:tr>
      <w:tr w:rsidR="00557901" w:rsidRPr="00F00A3F" w14:paraId="622C67E8" w14:textId="77777777" w:rsidTr="00D4283A">
        <w:trPr>
          <w:trHeight w:val="255"/>
        </w:trPr>
        <w:tc>
          <w:tcPr>
            <w:tcW w:w="5000" w:type="pct"/>
            <w:gridSpan w:val="6"/>
            <w:tcBorders>
              <w:top w:val="single" w:sz="4" w:space="0" w:color="auto"/>
              <w:left w:val="nil"/>
              <w:bottom w:val="single" w:sz="4" w:space="0" w:color="auto"/>
              <w:right w:val="nil"/>
            </w:tcBorders>
          </w:tcPr>
          <w:p w14:paraId="7D0FCCB0" w14:textId="2992FD70" w:rsidR="00557901" w:rsidRPr="00F00A3F" w:rsidRDefault="00557901" w:rsidP="00557901">
            <w:pPr>
              <w:rPr>
                <w:rFonts w:asciiTheme="minorHAnsi" w:hAnsiTheme="minorHAnsi" w:cstheme="minorHAnsi"/>
                <w:b/>
                <w:i/>
                <w:color w:val="000000" w:themeColor="text1"/>
                <w:szCs w:val="20"/>
              </w:rPr>
            </w:pPr>
            <w:r w:rsidRPr="00F00A3F">
              <w:rPr>
                <w:rFonts w:asciiTheme="minorHAnsi" w:hAnsiTheme="minorHAnsi" w:cstheme="minorHAnsi"/>
                <w:b/>
                <w:i/>
                <w:color w:val="000000" w:themeColor="text1"/>
                <w:szCs w:val="20"/>
              </w:rPr>
              <w:t xml:space="preserve">Станом на </w:t>
            </w:r>
            <w:r>
              <w:rPr>
                <w:rFonts w:asciiTheme="minorHAnsi" w:hAnsiTheme="minorHAnsi" w:cstheme="minorHAnsi"/>
                <w:b/>
                <w:i/>
                <w:color w:val="000000" w:themeColor="text1"/>
                <w:szCs w:val="20"/>
              </w:rPr>
              <w:t>31.12.2019</w:t>
            </w:r>
          </w:p>
        </w:tc>
      </w:tr>
      <w:tr w:rsidR="00557901" w:rsidRPr="00F00A3F" w14:paraId="5017C7F9" w14:textId="77777777" w:rsidTr="00D4283A">
        <w:trPr>
          <w:trHeight w:val="255"/>
        </w:trPr>
        <w:tc>
          <w:tcPr>
            <w:tcW w:w="1643" w:type="pct"/>
            <w:tcBorders>
              <w:top w:val="single" w:sz="4" w:space="0" w:color="auto"/>
              <w:left w:val="nil"/>
              <w:right w:val="nil"/>
            </w:tcBorders>
            <w:vAlign w:val="center"/>
          </w:tcPr>
          <w:p w14:paraId="5F89988F" w14:textId="77777777"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Первісна вартість</w:t>
            </w:r>
          </w:p>
        </w:tc>
        <w:tc>
          <w:tcPr>
            <w:tcW w:w="591" w:type="pct"/>
            <w:tcBorders>
              <w:top w:val="single" w:sz="4" w:space="0" w:color="auto"/>
              <w:left w:val="nil"/>
              <w:right w:val="nil"/>
            </w:tcBorders>
            <w:vAlign w:val="center"/>
          </w:tcPr>
          <w:p w14:paraId="5E53218A" w14:textId="101BD5AB" w:rsidR="00557901" w:rsidRPr="00F00A3F" w:rsidRDefault="00557901" w:rsidP="00557901">
            <w:pPr>
              <w:jc w:val="righ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 xml:space="preserve">5 969 </w:t>
            </w:r>
          </w:p>
        </w:tc>
        <w:tc>
          <w:tcPr>
            <w:tcW w:w="613" w:type="pct"/>
            <w:tcBorders>
              <w:top w:val="single" w:sz="4" w:space="0" w:color="auto"/>
              <w:left w:val="nil"/>
              <w:right w:val="nil"/>
            </w:tcBorders>
            <w:vAlign w:val="center"/>
          </w:tcPr>
          <w:p w14:paraId="66A49B19" w14:textId="16E0C8E8" w:rsidR="00557901" w:rsidRPr="00F00A3F" w:rsidRDefault="00557901" w:rsidP="00557901">
            <w:pPr>
              <w:jc w:val="righ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 xml:space="preserve">15 437 </w:t>
            </w:r>
          </w:p>
        </w:tc>
        <w:tc>
          <w:tcPr>
            <w:tcW w:w="749" w:type="pct"/>
            <w:tcBorders>
              <w:top w:val="single" w:sz="4" w:space="0" w:color="auto"/>
              <w:left w:val="nil"/>
              <w:right w:val="nil"/>
            </w:tcBorders>
            <w:vAlign w:val="center"/>
          </w:tcPr>
          <w:p w14:paraId="37686C8C" w14:textId="1C694763"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19 921</w:t>
            </w:r>
            <w:r w:rsidRPr="00F00A3F">
              <w:rPr>
                <w:rFonts w:asciiTheme="minorHAnsi" w:hAnsiTheme="minorHAnsi" w:cstheme="minorHAnsi"/>
                <w:color w:val="000000" w:themeColor="text1"/>
                <w:szCs w:val="20"/>
              </w:rPr>
              <w:t xml:space="preserve"> </w:t>
            </w:r>
          </w:p>
        </w:tc>
        <w:tc>
          <w:tcPr>
            <w:tcW w:w="784" w:type="pct"/>
            <w:tcBorders>
              <w:top w:val="single" w:sz="4" w:space="0" w:color="auto"/>
              <w:left w:val="nil"/>
              <w:right w:val="nil"/>
            </w:tcBorders>
            <w:vAlign w:val="center"/>
          </w:tcPr>
          <w:p w14:paraId="3CAE7D64" w14:textId="72554B9A" w:rsidR="00557901" w:rsidRPr="00F00A3F" w:rsidRDefault="00557901" w:rsidP="00557901">
            <w:pPr>
              <w:jc w:val="righ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 xml:space="preserve">16 731 </w:t>
            </w:r>
          </w:p>
        </w:tc>
        <w:tc>
          <w:tcPr>
            <w:tcW w:w="620" w:type="pct"/>
            <w:tcBorders>
              <w:top w:val="single" w:sz="4" w:space="0" w:color="auto"/>
              <w:left w:val="nil"/>
              <w:right w:val="nil"/>
            </w:tcBorders>
            <w:vAlign w:val="center"/>
          </w:tcPr>
          <w:p w14:paraId="0D0D3E32" w14:textId="1C4E96D2" w:rsidR="00557901" w:rsidRPr="00F00A3F" w:rsidRDefault="00557901" w:rsidP="00557901">
            <w:pPr>
              <w:jc w:val="right"/>
              <w:rPr>
                <w:rFonts w:asciiTheme="minorHAnsi" w:hAnsiTheme="minorHAnsi" w:cstheme="minorHAnsi"/>
                <w:color w:val="000000" w:themeColor="text1"/>
                <w:szCs w:val="20"/>
              </w:rPr>
            </w:pPr>
            <w:r w:rsidRPr="00F00A3F">
              <w:rPr>
                <w:rFonts w:asciiTheme="minorHAnsi" w:hAnsiTheme="minorHAnsi" w:cstheme="minorHAnsi"/>
                <w:b/>
                <w:bCs/>
                <w:color w:val="000000" w:themeColor="text1"/>
                <w:szCs w:val="20"/>
              </w:rPr>
              <w:t xml:space="preserve">58 </w:t>
            </w:r>
            <w:r>
              <w:rPr>
                <w:rFonts w:asciiTheme="minorHAnsi" w:hAnsiTheme="minorHAnsi" w:cstheme="minorHAnsi"/>
                <w:b/>
                <w:bCs/>
                <w:color w:val="000000" w:themeColor="text1"/>
                <w:szCs w:val="20"/>
              </w:rPr>
              <w:t>058</w:t>
            </w:r>
            <w:r w:rsidRPr="00F00A3F">
              <w:rPr>
                <w:rFonts w:asciiTheme="minorHAnsi" w:hAnsiTheme="minorHAnsi" w:cstheme="minorHAnsi"/>
                <w:b/>
                <w:bCs/>
                <w:color w:val="000000" w:themeColor="text1"/>
                <w:szCs w:val="20"/>
              </w:rPr>
              <w:t xml:space="preserve"> </w:t>
            </w:r>
          </w:p>
        </w:tc>
      </w:tr>
      <w:tr w:rsidR="00557901" w:rsidRPr="00F00A3F" w14:paraId="5A0B9E07" w14:textId="77777777" w:rsidTr="00D4283A">
        <w:trPr>
          <w:trHeight w:val="255"/>
        </w:trPr>
        <w:tc>
          <w:tcPr>
            <w:tcW w:w="1643" w:type="pct"/>
            <w:tcBorders>
              <w:top w:val="nil"/>
              <w:left w:val="nil"/>
              <w:bottom w:val="single" w:sz="4" w:space="0" w:color="auto"/>
              <w:right w:val="nil"/>
            </w:tcBorders>
            <w:vAlign w:val="center"/>
          </w:tcPr>
          <w:p w14:paraId="3B5F840F" w14:textId="77777777"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Накопичена амортизація</w:t>
            </w:r>
          </w:p>
        </w:tc>
        <w:tc>
          <w:tcPr>
            <w:tcW w:w="591" w:type="pct"/>
            <w:tcBorders>
              <w:top w:val="nil"/>
              <w:left w:val="nil"/>
              <w:bottom w:val="single" w:sz="4" w:space="0" w:color="auto"/>
              <w:right w:val="nil"/>
            </w:tcBorders>
            <w:vAlign w:val="center"/>
          </w:tcPr>
          <w:p w14:paraId="7E2BB4B4" w14:textId="5BA3BBF3"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(2 554)</w:t>
            </w:r>
            <w:r w:rsidRPr="00F00A3F">
              <w:rPr>
                <w:rFonts w:asciiTheme="minorHAnsi" w:hAnsiTheme="minorHAnsi" w:cstheme="minorHAnsi"/>
                <w:color w:val="000000" w:themeColor="text1"/>
                <w:szCs w:val="20"/>
              </w:rPr>
              <w:t xml:space="preserve"> </w:t>
            </w:r>
          </w:p>
        </w:tc>
        <w:tc>
          <w:tcPr>
            <w:tcW w:w="613" w:type="pct"/>
            <w:tcBorders>
              <w:top w:val="nil"/>
              <w:left w:val="nil"/>
              <w:bottom w:val="single" w:sz="4" w:space="0" w:color="auto"/>
              <w:right w:val="nil"/>
            </w:tcBorders>
            <w:vAlign w:val="center"/>
          </w:tcPr>
          <w:p w14:paraId="2AD9FA45" w14:textId="73F4D2C9"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(6 414)</w:t>
            </w:r>
            <w:r w:rsidRPr="00F00A3F">
              <w:rPr>
                <w:rFonts w:asciiTheme="minorHAnsi" w:hAnsiTheme="minorHAnsi" w:cstheme="minorHAnsi"/>
                <w:color w:val="000000" w:themeColor="text1"/>
                <w:szCs w:val="20"/>
              </w:rPr>
              <w:t xml:space="preserve"> </w:t>
            </w:r>
          </w:p>
        </w:tc>
        <w:tc>
          <w:tcPr>
            <w:tcW w:w="749" w:type="pct"/>
            <w:tcBorders>
              <w:top w:val="nil"/>
              <w:left w:val="nil"/>
              <w:bottom w:val="single" w:sz="4" w:space="0" w:color="auto"/>
              <w:right w:val="nil"/>
            </w:tcBorders>
            <w:vAlign w:val="center"/>
          </w:tcPr>
          <w:p w14:paraId="287476C5" w14:textId="026234A3"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(5 359)</w:t>
            </w:r>
            <w:r w:rsidRPr="00F00A3F">
              <w:rPr>
                <w:rFonts w:asciiTheme="minorHAnsi" w:hAnsiTheme="minorHAnsi" w:cstheme="minorHAnsi"/>
                <w:color w:val="000000" w:themeColor="text1"/>
                <w:szCs w:val="20"/>
              </w:rPr>
              <w:t xml:space="preserve"> </w:t>
            </w:r>
          </w:p>
        </w:tc>
        <w:tc>
          <w:tcPr>
            <w:tcW w:w="784" w:type="pct"/>
            <w:tcBorders>
              <w:top w:val="nil"/>
              <w:left w:val="nil"/>
              <w:bottom w:val="single" w:sz="4" w:space="0" w:color="auto"/>
              <w:right w:val="nil"/>
            </w:tcBorders>
            <w:vAlign w:val="center"/>
          </w:tcPr>
          <w:p w14:paraId="5A59FCCE" w14:textId="030D8829"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(2 452)</w:t>
            </w:r>
            <w:r w:rsidRPr="00F00A3F">
              <w:rPr>
                <w:rFonts w:asciiTheme="minorHAnsi" w:hAnsiTheme="minorHAnsi" w:cstheme="minorHAnsi"/>
                <w:color w:val="000000" w:themeColor="text1"/>
                <w:szCs w:val="20"/>
              </w:rPr>
              <w:t xml:space="preserve"> </w:t>
            </w:r>
          </w:p>
        </w:tc>
        <w:tc>
          <w:tcPr>
            <w:tcW w:w="620" w:type="pct"/>
            <w:tcBorders>
              <w:top w:val="nil"/>
              <w:left w:val="nil"/>
              <w:bottom w:val="single" w:sz="4" w:space="0" w:color="auto"/>
              <w:right w:val="nil"/>
            </w:tcBorders>
            <w:vAlign w:val="center"/>
          </w:tcPr>
          <w:p w14:paraId="49443E02" w14:textId="20A2748D"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b/>
                <w:bCs/>
                <w:color w:val="000000" w:themeColor="text1"/>
                <w:szCs w:val="20"/>
              </w:rPr>
              <w:t>(16 779)</w:t>
            </w:r>
            <w:r w:rsidRPr="00F00A3F">
              <w:rPr>
                <w:rFonts w:asciiTheme="minorHAnsi" w:hAnsiTheme="minorHAnsi" w:cstheme="minorHAnsi"/>
                <w:b/>
                <w:bCs/>
                <w:color w:val="000000" w:themeColor="text1"/>
                <w:szCs w:val="20"/>
              </w:rPr>
              <w:t xml:space="preserve"> </w:t>
            </w:r>
          </w:p>
        </w:tc>
      </w:tr>
      <w:tr w:rsidR="00557901" w:rsidRPr="00F00A3F" w14:paraId="4307527E" w14:textId="77777777" w:rsidTr="00924AD3">
        <w:trPr>
          <w:trHeight w:val="316"/>
        </w:trPr>
        <w:tc>
          <w:tcPr>
            <w:tcW w:w="1643" w:type="pct"/>
            <w:tcBorders>
              <w:top w:val="single" w:sz="4" w:space="0" w:color="auto"/>
              <w:left w:val="nil"/>
              <w:right w:val="nil"/>
            </w:tcBorders>
            <w:noWrap/>
          </w:tcPr>
          <w:p w14:paraId="0ABA6171" w14:textId="77777777" w:rsidR="00557901" w:rsidRPr="00F00A3F" w:rsidRDefault="00557901" w:rsidP="00557901">
            <w:pPr>
              <w:jc w:val="left"/>
              <w:rPr>
                <w:rFonts w:asciiTheme="minorHAnsi" w:hAnsiTheme="minorHAnsi" w:cstheme="minorHAnsi"/>
                <w:b/>
                <w:bCs/>
                <w:color w:val="000000" w:themeColor="text1"/>
                <w:szCs w:val="20"/>
              </w:rPr>
            </w:pPr>
            <w:r w:rsidRPr="00F00A3F">
              <w:rPr>
                <w:rFonts w:asciiTheme="minorHAnsi" w:hAnsiTheme="minorHAnsi" w:cstheme="minorHAnsi"/>
                <w:b/>
                <w:bCs/>
                <w:color w:val="000000" w:themeColor="text1"/>
                <w:szCs w:val="20"/>
              </w:rPr>
              <w:t>Чиста балансова вартість</w:t>
            </w:r>
          </w:p>
        </w:tc>
        <w:tc>
          <w:tcPr>
            <w:tcW w:w="591" w:type="pct"/>
            <w:tcBorders>
              <w:top w:val="single" w:sz="4" w:space="0" w:color="auto"/>
              <w:left w:val="nil"/>
              <w:right w:val="nil"/>
            </w:tcBorders>
          </w:tcPr>
          <w:p w14:paraId="06B6CEB3" w14:textId="54C890BA" w:rsidR="00557901" w:rsidRPr="00F00A3F" w:rsidRDefault="00557901" w:rsidP="00557901">
            <w:pPr>
              <w:jc w:val="right"/>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t>3 415</w:t>
            </w:r>
            <w:r w:rsidRPr="00F00A3F">
              <w:rPr>
                <w:rFonts w:asciiTheme="minorHAnsi" w:hAnsiTheme="minorHAnsi" w:cstheme="minorHAnsi"/>
                <w:b/>
                <w:bCs/>
                <w:color w:val="000000" w:themeColor="text1"/>
                <w:szCs w:val="20"/>
              </w:rPr>
              <w:t xml:space="preserve"> </w:t>
            </w:r>
          </w:p>
        </w:tc>
        <w:tc>
          <w:tcPr>
            <w:tcW w:w="613" w:type="pct"/>
            <w:tcBorders>
              <w:top w:val="single" w:sz="4" w:space="0" w:color="auto"/>
              <w:left w:val="nil"/>
              <w:right w:val="nil"/>
            </w:tcBorders>
          </w:tcPr>
          <w:p w14:paraId="79B5EF81" w14:textId="5F55F1ED" w:rsidR="00557901" w:rsidRPr="00F00A3F" w:rsidRDefault="00557901" w:rsidP="00557901">
            <w:pPr>
              <w:jc w:val="right"/>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t>9 023</w:t>
            </w:r>
            <w:r w:rsidRPr="00F00A3F">
              <w:rPr>
                <w:rFonts w:asciiTheme="minorHAnsi" w:hAnsiTheme="minorHAnsi" w:cstheme="minorHAnsi"/>
                <w:b/>
                <w:bCs/>
                <w:color w:val="000000" w:themeColor="text1"/>
                <w:szCs w:val="20"/>
              </w:rPr>
              <w:t xml:space="preserve"> </w:t>
            </w:r>
          </w:p>
        </w:tc>
        <w:tc>
          <w:tcPr>
            <w:tcW w:w="749" w:type="pct"/>
            <w:tcBorders>
              <w:top w:val="single" w:sz="4" w:space="0" w:color="auto"/>
              <w:left w:val="nil"/>
              <w:right w:val="nil"/>
            </w:tcBorders>
          </w:tcPr>
          <w:p w14:paraId="0A7A63DB" w14:textId="13123C5A" w:rsidR="00557901" w:rsidRPr="00F00A3F" w:rsidRDefault="00557901" w:rsidP="00557901">
            <w:pPr>
              <w:jc w:val="right"/>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t>14 562</w:t>
            </w:r>
            <w:r w:rsidRPr="00F00A3F">
              <w:rPr>
                <w:rFonts w:asciiTheme="minorHAnsi" w:hAnsiTheme="minorHAnsi" w:cstheme="minorHAnsi"/>
                <w:b/>
                <w:bCs/>
                <w:color w:val="000000" w:themeColor="text1"/>
                <w:szCs w:val="20"/>
              </w:rPr>
              <w:t xml:space="preserve"> </w:t>
            </w:r>
          </w:p>
        </w:tc>
        <w:tc>
          <w:tcPr>
            <w:tcW w:w="784" w:type="pct"/>
            <w:tcBorders>
              <w:top w:val="single" w:sz="4" w:space="0" w:color="auto"/>
              <w:left w:val="nil"/>
              <w:right w:val="nil"/>
            </w:tcBorders>
          </w:tcPr>
          <w:p w14:paraId="2B38D8EF" w14:textId="06324C2E" w:rsidR="00557901" w:rsidRPr="00F00A3F" w:rsidRDefault="00557901" w:rsidP="00557901">
            <w:pPr>
              <w:jc w:val="right"/>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t>14 279</w:t>
            </w:r>
            <w:r w:rsidRPr="00F00A3F">
              <w:rPr>
                <w:rFonts w:asciiTheme="minorHAnsi" w:hAnsiTheme="minorHAnsi" w:cstheme="minorHAnsi"/>
                <w:b/>
                <w:bCs/>
                <w:color w:val="000000" w:themeColor="text1"/>
                <w:szCs w:val="20"/>
              </w:rPr>
              <w:t xml:space="preserve"> </w:t>
            </w:r>
          </w:p>
        </w:tc>
        <w:tc>
          <w:tcPr>
            <w:tcW w:w="620" w:type="pct"/>
            <w:tcBorders>
              <w:top w:val="single" w:sz="4" w:space="0" w:color="auto"/>
              <w:left w:val="nil"/>
              <w:right w:val="nil"/>
            </w:tcBorders>
          </w:tcPr>
          <w:p w14:paraId="3EE71B19" w14:textId="1AD08A17" w:rsidR="00557901" w:rsidRPr="00F00A3F" w:rsidRDefault="00557901" w:rsidP="00557901">
            <w:pPr>
              <w:jc w:val="right"/>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t>41 279</w:t>
            </w:r>
            <w:r w:rsidRPr="00F00A3F">
              <w:rPr>
                <w:rFonts w:asciiTheme="minorHAnsi" w:hAnsiTheme="minorHAnsi" w:cstheme="minorHAnsi"/>
                <w:b/>
                <w:bCs/>
                <w:color w:val="000000" w:themeColor="text1"/>
                <w:szCs w:val="20"/>
              </w:rPr>
              <w:t xml:space="preserve"> </w:t>
            </w:r>
          </w:p>
        </w:tc>
      </w:tr>
      <w:tr w:rsidR="00557901" w:rsidRPr="00F00A3F" w14:paraId="44383FC3" w14:textId="77777777" w:rsidTr="00D4283A">
        <w:trPr>
          <w:trHeight w:val="255"/>
        </w:trPr>
        <w:tc>
          <w:tcPr>
            <w:tcW w:w="1643" w:type="pct"/>
            <w:tcBorders>
              <w:left w:val="nil"/>
              <w:right w:val="nil"/>
            </w:tcBorders>
            <w:vAlign w:val="center"/>
          </w:tcPr>
          <w:p w14:paraId="07B1BB53" w14:textId="338645C1"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Надходження</w:t>
            </w:r>
          </w:p>
        </w:tc>
        <w:tc>
          <w:tcPr>
            <w:tcW w:w="591" w:type="pct"/>
            <w:tcBorders>
              <w:left w:val="nil"/>
              <w:right w:val="nil"/>
            </w:tcBorders>
            <w:vAlign w:val="center"/>
          </w:tcPr>
          <w:p w14:paraId="763EAB2F" w14:textId="23BD7A08"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1 677</w:t>
            </w:r>
          </w:p>
        </w:tc>
        <w:tc>
          <w:tcPr>
            <w:tcW w:w="613" w:type="pct"/>
            <w:tcBorders>
              <w:left w:val="nil"/>
              <w:right w:val="nil"/>
            </w:tcBorders>
            <w:vAlign w:val="center"/>
          </w:tcPr>
          <w:p w14:paraId="75DD18BA" w14:textId="39A8CE13" w:rsidR="00557901" w:rsidRPr="00924AD3" w:rsidRDefault="00C526D6"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1 596</w:t>
            </w:r>
            <w:r w:rsidR="00557901" w:rsidRPr="00924AD3">
              <w:rPr>
                <w:rFonts w:asciiTheme="minorHAnsi" w:hAnsiTheme="minorHAnsi" w:cstheme="minorHAnsi"/>
                <w:color w:val="000000" w:themeColor="text1"/>
                <w:szCs w:val="20"/>
              </w:rPr>
              <w:t xml:space="preserve"> </w:t>
            </w:r>
          </w:p>
        </w:tc>
        <w:tc>
          <w:tcPr>
            <w:tcW w:w="749" w:type="pct"/>
            <w:tcBorders>
              <w:left w:val="nil"/>
              <w:right w:val="nil"/>
            </w:tcBorders>
            <w:vAlign w:val="center"/>
          </w:tcPr>
          <w:p w14:paraId="57AAFA52" w14:textId="557E753A"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 xml:space="preserve">5 417 </w:t>
            </w:r>
          </w:p>
        </w:tc>
        <w:tc>
          <w:tcPr>
            <w:tcW w:w="784" w:type="pct"/>
            <w:tcBorders>
              <w:left w:val="nil"/>
              <w:right w:val="nil"/>
            </w:tcBorders>
            <w:vAlign w:val="center"/>
          </w:tcPr>
          <w:p w14:paraId="486C2210" w14:textId="08EAE2E6" w:rsidR="00557901" w:rsidRPr="00924AD3" w:rsidRDefault="00557901" w:rsidP="0064198B">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 xml:space="preserve">12 </w:t>
            </w:r>
            <w:r w:rsidR="0064198B" w:rsidRPr="00924AD3">
              <w:rPr>
                <w:rFonts w:asciiTheme="minorHAnsi" w:hAnsiTheme="minorHAnsi" w:cstheme="minorHAnsi"/>
                <w:color w:val="000000" w:themeColor="text1"/>
                <w:szCs w:val="20"/>
              </w:rPr>
              <w:t>200</w:t>
            </w:r>
            <w:r w:rsidRPr="00924AD3">
              <w:rPr>
                <w:rFonts w:asciiTheme="minorHAnsi" w:hAnsiTheme="minorHAnsi" w:cstheme="minorHAnsi"/>
                <w:color w:val="000000" w:themeColor="text1"/>
                <w:szCs w:val="20"/>
              </w:rPr>
              <w:t xml:space="preserve"> </w:t>
            </w:r>
          </w:p>
        </w:tc>
        <w:tc>
          <w:tcPr>
            <w:tcW w:w="620" w:type="pct"/>
            <w:tcBorders>
              <w:left w:val="nil"/>
              <w:right w:val="nil"/>
            </w:tcBorders>
            <w:vAlign w:val="center"/>
          </w:tcPr>
          <w:p w14:paraId="7763A184" w14:textId="46D3218F" w:rsidR="00557901" w:rsidRPr="00924AD3" w:rsidRDefault="00557901" w:rsidP="0064198B">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20 8</w:t>
            </w:r>
            <w:r w:rsidR="0064198B" w:rsidRPr="00924AD3">
              <w:rPr>
                <w:rFonts w:asciiTheme="minorHAnsi" w:hAnsiTheme="minorHAnsi" w:cstheme="minorHAnsi"/>
                <w:b/>
                <w:bCs/>
                <w:color w:val="000000" w:themeColor="text1"/>
                <w:szCs w:val="20"/>
              </w:rPr>
              <w:t>90</w:t>
            </w:r>
            <w:r w:rsidRPr="00924AD3">
              <w:rPr>
                <w:rFonts w:asciiTheme="minorHAnsi" w:hAnsiTheme="minorHAnsi" w:cstheme="minorHAnsi"/>
                <w:b/>
                <w:bCs/>
                <w:color w:val="000000" w:themeColor="text1"/>
                <w:szCs w:val="20"/>
              </w:rPr>
              <w:t xml:space="preserve"> </w:t>
            </w:r>
          </w:p>
        </w:tc>
      </w:tr>
      <w:tr w:rsidR="00557901" w:rsidRPr="00F00A3F" w14:paraId="383FCBF6" w14:textId="77777777" w:rsidTr="00D4283A">
        <w:trPr>
          <w:trHeight w:val="255"/>
        </w:trPr>
        <w:tc>
          <w:tcPr>
            <w:tcW w:w="1643" w:type="pct"/>
            <w:tcBorders>
              <w:top w:val="nil"/>
              <w:left w:val="nil"/>
              <w:right w:val="nil"/>
            </w:tcBorders>
            <w:vAlign w:val="center"/>
          </w:tcPr>
          <w:p w14:paraId="1C6F6B07" w14:textId="650A0ACB"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Вибуття</w:t>
            </w:r>
          </w:p>
        </w:tc>
        <w:tc>
          <w:tcPr>
            <w:tcW w:w="591" w:type="pct"/>
            <w:tcBorders>
              <w:top w:val="nil"/>
              <w:left w:val="nil"/>
              <w:right w:val="nil"/>
            </w:tcBorders>
            <w:vAlign w:val="center"/>
          </w:tcPr>
          <w:p w14:paraId="01DE93C2" w14:textId="57DC7A63"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(949)</w:t>
            </w:r>
          </w:p>
        </w:tc>
        <w:tc>
          <w:tcPr>
            <w:tcW w:w="613" w:type="pct"/>
            <w:tcBorders>
              <w:top w:val="nil"/>
              <w:left w:val="nil"/>
              <w:right w:val="nil"/>
            </w:tcBorders>
            <w:vAlign w:val="center"/>
          </w:tcPr>
          <w:p w14:paraId="56C13BFB" w14:textId="6CFF25CA"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(1 793)</w:t>
            </w:r>
          </w:p>
        </w:tc>
        <w:tc>
          <w:tcPr>
            <w:tcW w:w="749" w:type="pct"/>
            <w:tcBorders>
              <w:top w:val="nil"/>
              <w:left w:val="nil"/>
              <w:right w:val="nil"/>
            </w:tcBorders>
            <w:vAlign w:val="center"/>
          </w:tcPr>
          <w:p w14:paraId="0249C5CC" w14:textId="7E4E236B"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w:t>
            </w:r>
          </w:p>
        </w:tc>
        <w:tc>
          <w:tcPr>
            <w:tcW w:w="784" w:type="pct"/>
            <w:tcBorders>
              <w:top w:val="nil"/>
              <w:left w:val="nil"/>
              <w:right w:val="nil"/>
            </w:tcBorders>
            <w:vAlign w:val="center"/>
          </w:tcPr>
          <w:p w14:paraId="7969AA8E" w14:textId="5990DC72" w:rsidR="00557901" w:rsidRPr="00924AD3" w:rsidRDefault="0064198B"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w:t>
            </w:r>
            <w:r w:rsidR="00557901" w:rsidRPr="00924AD3">
              <w:rPr>
                <w:rFonts w:asciiTheme="minorHAnsi" w:hAnsiTheme="minorHAnsi" w:cstheme="minorHAnsi"/>
                <w:color w:val="000000" w:themeColor="text1"/>
                <w:szCs w:val="20"/>
              </w:rPr>
              <w:t>2</w:t>
            </w:r>
            <w:r w:rsidRPr="00924AD3">
              <w:rPr>
                <w:rFonts w:asciiTheme="minorHAnsi" w:hAnsiTheme="minorHAnsi" w:cstheme="minorHAnsi"/>
                <w:color w:val="000000" w:themeColor="text1"/>
                <w:szCs w:val="20"/>
              </w:rPr>
              <w:t>)</w:t>
            </w:r>
          </w:p>
        </w:tc>
        <w:tc>
          <w:tcPr>
            <w:tcW w:w="620" w:type="pct"/>
            <w:tcBorders>
              <w:top w:val="nil"/>
              <w:left w:val="nil"/>
              <w:right w:val="nil"/>
            </w:tcBorders>
            <w:vAlign w:val="center"/>
          </w:tcPr>
          <w:p w14:paraId="65C10092" w14:textId="72B4242E" w:rsidR="00557901" w:rsidRPr="00924AD3" w:rsidRDefault="00557901" w:rsidP="0064198B">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(2 74</w:t>
            </w:r>
            <w:r w:rsidR="0064198B" w:rsidRPr="00924AD3">
              <w:rPr>
                <w:rFonts w:asciiTheme="minorHAnsi" w:hAnsiTheme="minorHAnsi" w:cstheme="minorHAnsi"/>
                <w:b/>
                <w:bCs/>
                <w:color w:val="000000" w:themeColor="text1"/>
                <w:szCs w:val="20"/>
              </w:rPr>
              <w:t>4</w:t>
            </w:r>
            <w:r w:rsidRPr="00924AD3">
              <w:rPr>
                <w:rFonts w:asciiTheme="minorHAnsi" w:hAnsiTheme="minorHAnsi" w:cstheme="minorHAnsi"/>
                <w:b/>
                <w:bCs/>
                <w:color w:val="000000" w:themeColor="text1"/>
                <w:szCs w:val="20"/>
              </w:rPr>
              <w:t>)</w:t>
            </w:r>
          </w:p>
        </w:tc>
      </w:tr>
      <w:tr w:rsidR="00557901" w:rsidRPr="00F00A3F" w14:paraId="7C6C4E85" w14:textId="77777777" w:rsidTr="00D4283A">
        <w:trPr>
          <w:trHeight w:val="255"/>
        </w:trPr>
        <w:tc>
          <w:tcPr>
            <w:tcW w:w="1643" w:type="pct"/>
            <w:tcBorders>
              <w:top w:val="nil"/>
              <w:left w:val="nil"/>
              <w:right w:val="nil"/>
            </w:tcBorders>
            <w:vAlign w:val="center"/>
          </w:tcPr>
          <w:p w14:paraId="02807DEE" w14:textId="1E372ACF"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Вибуття амортизації</w:t>
            </w:r>
          </w:p>
        </w:tc>
        <w:tc>
          <w:tcPr>
            <w:tcW w:w="591" w:type="pct"/>
            <w:tcBorders>
              <w:top w:val="nil"/>
              <w:left w:val="nil"/>
              <w:right w:val="nil"/>
            </w:tcBorders>
            <w:vAlign w:val="center"/>
          </w:tcPr>
          <w:p w14:paraId="246B783D" w14:textId="5BE8D892"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714</w:t>
            </w:r>
            <w:r w:rsidRPr="00F00A3F">
              <w:rPr>
                <w:rFonts w:asciiTheme="minorHAnsi" w:hAnsiTheme="minorHAnsi" w:cstheme="minorHAnsi"/>
                <w:color w:val="000000" w:themeColor="text1"/>
                <w:szCs w:val="20"/>
              </w:rPr>
              <w:t xml:space="preserve"> </w:t>
            </w:r>
          </w:p>
        </w:tc>
        <w:tc>
          <w:tcPr>
            <w:tcW w:w="613" w:type="pct"/>
            <w:tcBorders>
              <w:top w:val="nil"/>
              <w:left w:val="nil"/>
              <w:right w:val="nil"/>
            </w:tcBorders>
            <w:vAlign w:val="center"/>
          </w:tcPr>
          <w:p w14:paraId="479DAB78" w14:textId="42439598"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1 793</w:t>
            </w:r>
          </w:p>
        </w:tc>
        <w:tc>
          <w:tcPr>
            <w:tcW w:w="749" w:type="pct"/>
            <w:tcBorders>
              <w:top w:val="nil"/>
              <w:left w:val="nil"/>
              <w:right w:val="nil"/>
            </w:tcBorders>
            <w:vAlign w:val="center"/>
          </w:tcPr>
          <w:p w14:paraId="218D6BA7" w14:textId="629DE5CB"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 xml:space="preserve">- </w:t>
            </w:r>
          </w:p>
        </w:tc>
        <w:tc>
          <w:tcPr>
            <w:tcW w:w="784" w:type="pct"/>
            <w:tcBorders>
              <w:top w:val="nil"/>
              <w:left w:val="nil"/>
              <w:right w:val="nil"/>
            </w:tcBorders>
            <w:vAlign w:val="center"/>
          </w:tcPr>
          <w:p w14:paraId="166BB39C" w14:textId="7A4A80F3"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 xml:space="preserve">2 </w:t>
            </w:r>
          </w:p>
        </w:tc>
        <w:tc>
          <w:tcPr>
            <w:tcW w:w="620" w:type="pct"/>
            <w:tcBorders>
              <w:top w:val="nil"/>
              <w:left w:val="nil"/>
              <w:right w:val="nil"/>
            </w:tcBorders>
            <w:vAlign w:val="center"/>
          </w:tcPr>
          <w:p w14:paraId="3CD6183A" w14:textId="7286E040"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 xml:space="preserve">2 509 </w:t>
            </w:r>
          </w:p>
        </w:tc>
      </w:tr>
      <w:tr w:rsidR="00557901" w:rsidRPr="00F00A3F" w14:paraId="5EEB7E01" w14:textId="77777777" w:rsidTr="00D4283A">
        <w:trPr>
          <w:trHeight w:val="255"/>
        </w:trPr>
        <w:tc>
          <w:tcPr>
            <w:tcW w:w="1643" w:type="pct"/>
            <w:tcBorders>
              <w:left w:val="nil"/>
              <w:bottom w:val="single" w:sz="4" w:space="0" w:color="auto"/>
              <w:right w:val="nil"/>
            </w:tcBorders>
            <w:noWrap/>
            <w:vAlign w:val="center"/>
          </w:tcPr>
          <w:p w14:paraId="620D4245" w14:textId="417C6714"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Амортизаційні відрахування</w:t>
            </w:r>
          </w:p>
        </w:tc>
        <w:tc>
          <w:tcPr>
            <w:tcW w:w="591" w:type="pct"/>
            <w:tcBorders>
              <w:left w:val="nil"/>
              <w:bottom w:val="single" w:sz="4" w:space="0" w:color="auto"/>
              <w:right w:val="nil"/>
            </w:tcBorders>
            <w:vAlign w:val="center"/>
          </w:tcPr>
          <w:p w14:paraId="2B10EE32" w14:textId="2D11F10F" w:rsidR="00557901" w:rsidRPr="00F00A3F" w:rsidRDefault="00557901" w:rsidP="00557901">
            <w:pPr>
              <w:jc w:val="righ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w:t>
            </w:r>
            <w:r>
              <w:rPr>
                <w:rFonts w:asciiTheme="minorHAnsi" w:hAnsiTheme="minorHAnsi" w:cstheme="minorHAnsi"/>
                <w:color w:val="000000" w:themeColor="text1"/>
                <w:szCs w:val="20"/>
              </w:rPr>
              <w:t>2 137</w:t>
            </w:r>
            <w:r w:rsidRPr="00F00A3F">
              <w:rPr>
                <w:rFonts w:asciiTheme="minorHAnsi" w:hAnsiTheme="minorHAnsi" w:cstheme="minorHAnsi"/>
                <w:color w:val="000000" w:themeColor="text1"/>
                <w:szCs w:val="20"/>
              </w:rPr>
              <w:t>)</w:t>
            </w:r>
          </w:p>
        </w:tc>
        <w:tc>
          <w:tcPr>
            <w:tcW w:w="613" w:type="pct"/>
            <w:tcBorders>
              <w:left w:val="nil"/>
              <w:bottom w:val="single" w:sz="4" w:space="0" w:color="auto"/>
              <w:right w:val="nil"/>
            </w:tcBorders>
            <w:vAlign w:val="center"/>
          </w:tcPr>
          <w:p w14:paraId="40665315" w14:textId="22FC4F6D"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(6 301)</w:t>
            </w:r>
          </w:p>
        </w:tc>
        <w:tc>
          <w:tcPr>
            <w:tcW w:w="749" w:type="pct"/>
            <w:tcBorders>
              <w:left w:val="nil"/>
              <w:bottom w:val="single" w:sz="4" w:space="0" w:color="auto"/>
              <w:right w:val="nil"/>
            </w:tcBorders>
            <w:vAlign w:val="center"/>
          </w:tcPr>
          <w:p w14:paraId="269BCFEB" w14:textId="3D93CB01"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(6 511)</w:t>
            </w:r>
          </w:p>
        </w:tc>
        <w:tc>
          <w:tcPr>
            <w:tcW w:w="784" w:type="pct"/>
            <w:tcBorders>
              <w:left w:val="nil"/>
              <w:bottom w:val="single" w:sz="4" w:space="0" w:color="auto"/>
              <w:right w:val="nil"/>
            </w:tcBorders>
            <w:vAlign w:val="center"/>
          </w:tcPr>
          <w:p w14:paraId="31B437F2" w14:textId="01D29D06"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(5 405)</w:t>
            </w:r>
          </w:p>
        </w:tc>
        <w:tc>
          <w:tcPr>
            <w:tcW w:w="620" w:type="pct"/>
            <w:tcBorders>
              <w:left w:val="nil"/>
              <w:bottom w:val="single" w:sz="4" w:space="0" w:color="auto"/>
              <w:right w:val="nil"/>
            </w:tcBorders>
            <w:vAlign w:val="center"/>
          </w:tcPr>
          <w:p w14:paraId="69D30173" w14:textId="62CAC2C3"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(20 354)</w:t>
            </w:r>
          </w:p>
        </w:tc>
      </w:tr>
      <w:tr w:rsidR="00557901" w:rsidRPr="00F00A3F" w14:paraId="7C2F3AD2" w14:textId="77777777" w:rsidTr="00D4283A">
        <w:trPr>
          <w:trHeight w:val="255"/>
        </w:trPr>
        <w:tc>
          <w:tcPr>
            <w:tcW w:w="5000" w:type="pct"/>
            <w:gridSpan w:val="6"/>
            <w:tcBorders>
              <w:top w:val="single" w:sz="4" w:space="0" w:color="auto"/>
              <w:left w:val="nil"/>
              <w:bottom w:val="single" w:sz="4" w:space="0" w:color="auto"/>
              <w:right w:val="nil"/>
            </w:tcBorders>
          </w:tcPr>
          <w:p w14:paraId="695BA754" w14:textId="3C36FE4C" w:rsidR="00557901" w:rsidRPr="00924AD3" w:rsidRDefault="00557901" w:rsidP="00557901">
            <w:pPr>
              <w:jc w:val="left"/>
              <w:rPr>
                <w:rFonts w:asciiTheme="minorHAnsi" w:hAnsiTheme="minorHAnsi" w:cstheme="minorHAnsi"/>
                <w:i/>
                <w:color w:val="000000" w:themeColor="text1"/>
                <w:szCs w:val="20"/>
              </w:rPr>
            </w:pPr>
            <w:r w:rsidRPr="00924AD3">
              <w:rPr>
                <w:rFonts w:asciiTheme="minorHAnsi" w:hAnsiTheme="minorHAnsi" w:cstheme="minorHAnsi"/>
                <w:b/>
                <w:i/>
                <w:color w:val="000000" w:themeColor="text1"/>
                <w:szCs w:val="20"/>
              </w:rPr>
              <w:t>Станом на 31.12.2020</w:t>
            </w:r>
          </w:p>
        </w:tc>
      </w:tr>
      <w:tr w:rsidR="00557901" w:rsidRPr="00F00A3F" w14:paraId="48BEFF29" w14:textId="77777777" w:rsidTr="00D4283A">
        <w:trPr>
          <w:trHeight w:val="255"/>
        </w:trPr>
        <w:tc>
          <w:tcPr>
            <w:tcW w:w="1643" w:type="pct"/>
            <w:tcBorders>
              <w:top w:val="single" w:sz="4" w:space="0" w:color="auto"/>
              <w:left w:val="nil"/>
              <w:right w:val="nil"/>
            </w:tcBorders>
            <w:noWrap/>
            <w:vAlign w:val="center"/>
          </w:tcPr>
          <w:p w14:paraId="7FB71010" w14:textId="45DCE9BD"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Первісна вартість</w:t>
            </w:r>
          </w:p>
        </w:tc>
        <w:tc>
          <w:tcPr>
            <w:tcW w:w="591" w:type="pct"/>
            <w:tcBorders>
              <w:top w:val="single" w:sz="4" w:space="0" w:color="auto"/>
              <w:left w:val="nil"/>
              <w:right w:val="nil"/>
            </w:tcBorders>
            <w:vAlign w:val="center"/>
          </w:tcPr>
          <w:p w14:paraId="2CF03C4F" w14:textId="5D5298A6"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6 697</w:t>
            </w:r>
            <w:r w:rsidRPr="00F00A3F">
              <w:rPr>
                <w:rFonts w:asciiTheme="minorHAnsi" w:hAnsiTheme="minorHAnsi" w:cstheme="minorHAnsi"/>
                <w:color w:val="000000" w:themeColor="text1"/>
                <w:szCs w:val="20"/>
              </w:rPr>
              <w:t xml:space="preserve"> </w:t>
            </w:r>
          </w:p>
        </w:tc>
        <w:tc>
          <w:tcPr>
            <w:tcW w:w="613" w:type="pct"/>
            <w:tcBorders>
              <w:top w:val="single" w:sz="4" w:space="0" w:color="auto"/>
              <w:left w:val="nil"/>
              <w:right w:val="nil"/>
            </w:tcBorders>
            <w:vAlign w:val="center"/>
          </w:tcPr>
          <w:p w14:paraId="0D9AB237" w14:textId="064BEE57" w:rsidR="00557901" w:rsidRPr="00924AD3" w:rsidRDefault="00557901" w:rsidP="00D65ECA">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15 2</w:t>
            </w:r>
            <w:r w:rsidR="00D65ECA" w:rsidRPr="00924AD3">
              <w:rPr>
                <w:rFonts w:asciiTheme="minorHAnsi" w:hAnsiTheme="minorHAnsi" w:cstheme="minorHAnsi"/>
                <w:color w:val="000000" w:themeColor="text1"/>
                <w:szCs w:val="20"/>
              </w:rPr>
              <w:t>40</w:t>
            </w:r>
            <w:r w:rsidRPr="00924AD3">
              <w:rPr>
                <w:rFonts w:asciiTheme="minorHAnsi" w:hAnsiTheme="minorHAnsi" w:cstheme="minorHAnsi"/>
                <w:color w:val="000000" w:themeColor="text1"/>
                <w:szCs w:val="20"/>
              </w:rPr>
              <w:t xml:space="preserve"> </w:t>
            </w:r>
          </w:p>
        </w:tc>
        <w:tc>
          <w:tcPr>
            <w:tcW w:w="749" w:type="pct"/>
            <w:tcBorders>
              <w:top w:val="single" w:sz="4" w:space="0" w:color="auto"/>
              <w:left w:val="nil"/>
              <w:right w:val="nil"/>
            </w:tcBorders>
            <w:vAlign w:val="center"/>
          </w:tcPr>
          <w:p w14:paraId="17467E57" w14:textId="49639886"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 xml:space="preserve">25 338 </w:t>
            </w:r>
          </w:p>
        </w:tc>
        <w:tc>
          <w:tcPr>
            <w:tcW w:w="784" w:type="pct"/>
            <w:tcBorders>
              <w:top w:val="single" w:sz="4" w:space="0" w:color="auto"/>
              <w:left w:val="nil"/>
              <w:right w:val="nil"/>
            </w:tcBorders>
            <w:vAlign w:val="center"/>
          </w:tcPr>
          <w:p w14:paraId="066988B4" w14:textId="01CEB072" w:rsidR="00557901" w:rsidRPr="00924AD3" w:rsidRDefault="00557901" w:rsidP="00D65ECA">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 xml:space="preserve">28 </w:t>
            </w:r>
            <w:r w:rsidR="00D65ECA" w:rsidRPr="00924AD3">
              <w:rPr>
                <w:rFonts w:asciiTheme="minorHAnsi" w:hAnsiTheme="minorHAnsi" w:cstheme="minorHAnsi"/>
                <w:color w:val="000000" w:themeColor="text1"/>
                <w:szCs w:val="20"/>
              </w:rPr>
              <w:t>929</w:t>
            </w:r>
            <w:r w:rsidRPr="00924AD3">
              <w:rPr>
                <w:rFonts w:asciiTheme="minorHAnsi" w:hAnsiTheme="minorHAnsi" w:cstheme="minorHAnsi"/>
                <w:color w:val="000000" w:themeColor="text1"/>
                <w:szCs w:val="20"/>
              </w:rPr>
              <w:t xml:space="preserve"> </w:t>
            </w:r>
          </w:p>
        </w:tc>
        <w:tc>
          <w:tcPr>
            <w:tcW w:w="620" w:type="pct"/>
            <w:tcBorders>
              <w:top w:val="single" w:sz="4" w:space="0" w:color="auto"/>
              <w:left w:val="nil"/>
              <w:right w:val="nil"/>
            </w:tcBorders>
            <w:vAlign w:val="center"/>
          </w:tcPr>
          <w:p w14:paraId="19AE249B" w14:textId="7315E47B"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76 204</w:t>
            </w:r>
          </w:p>
        </w:tc>
      </w:tr>
      <w:tr w:rsidR="00557901" w:rsidRPr="00F00A3F" w14:paraId="08784CB4" w14:textId="77777777" w:rsidTr="00D4283A">
        <w:trPr>
          <w:trHeight w:val="255"/>
        </w:trPr>
        <w:tc>
          <w:tcPr>
            <w:tcW w:w="1643" w:type="pct"/>
            <w:tcBorders>
              <w:left w:val="nil"/>
              <w:right w:val="nil"/>
            </w:tcBorders>
            <w:noWrap/>
            <w:vAlign w:val="center"/>
          </w:tcPr>
          <w:p w14:paraId="6C003765" w14:textId="102AA2DD"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Накопичена амортизація</w:t>
            </w:r>
          </w:p>
        </w:tc>
        <w:tc>
          <w:tcPr>
            <w:tcW w:w="591" w:type="pct"/>
            <w:tcBorders>
              <w:left w:val="nil"/>
              <w:right w:val="nil"/>
            </w:tcBorders>
            <w:vAlign w:val="center"/>
          </w:tcPr>
          <w:p w14:paraId="5F5A113B" w14:textId="5450264A" w:rsidR="00557901" w:rsidRPr="00F00A3F" w:rsidRDefault="00557901" w:rsidP="00557901">
            <w:pPr>
              <w:jc w:val="right"/>
              <w:rPr>
                <w:rFonts w:asciiTheme="minorHAnsi" w:hAnsiTheme="minorHAnsi" w:cstheme="minorHAnsi"/>
                <w:color w:val="000000" w:themeColor="text1"/>
                <w:szCs w:val="20"/>
              </w:rPr>
            </w:pPr>
            <w:r w:rsidRPr="00F00A3F">
              <w:rPr>
                <w:rFonts w:asciiTheme="minorHAnsi" w:hAnsiTheme="minorHAnsi" w:cstheme="minorHAnsi"/>
                <w:color w:val="000000" w:themeColor="text1"/>
                <w:szCs w:val="20"/>
              </w:rPr>
              <w:t>(</w:t>
            </w:r>
            <w:r>
              <w:rPr>
                <w:rFonts w:asciiTheme="minorHAnsi" w:hAnsiTheme="minorHAnsi" w:cstheme="minorHAnsi"/>
                <w:color w:val="000000" w:themeColor="text1"/>
                <w:szCs w:val="20"/>
              </w:rPr>
              <w:t>3 977</w:t>
            </w:r>
            <w:r w:rsidRPr="00F00A3F">
              <w:rPr>
                <w:rFonts w:asciiTheme="minorHAnsi" w:hAnsiTheme="minorHAnsi" w:cstheme="minorHAnsi"/>
                <w:color w:val="000000" w:themeColor="text1"/>
                <w:szCs w:val="20"/>
              </w:rPr>
              <w:t>)</w:t>
            </w:r>
          </w:p>
        </w:tc>
        <w:tc>
          <w:tcPr>
            <w:tcW w:w="613" w:type="pct"/>
            <w:tcBorders>
              <w:left w:val="nil"/>
              <w:right w:val="nil"/>
            </w:tcBorders>
            <w:vAlign w:val="center"/>
          </w:tcPr>
          <w:p w14:paraId="3F992697" w14:textId="68E68269"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(10 922)</w:t>
            </w:r>
          </w:p>
        </w:tc>
        <w:tc>
          <w:tcPr>
            <w:tcW w:w="749" w:type="pct"/>
            <w:tcBorders>
              <w:left w:val="nil"/>
              <w:right w:val="nil"/>
            </w:tcBorders>
            <w:vAlign w:val="center"/>
          </w:tcPr>
          <w:p w14:paraId="1D53E1DF" w14:textId="33092079"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(11 870)</w:t>
            </w:r>
          </w:p>
        </w:tc>
        <w:tc>
          <w:tcPr>
            <w:tcW w:w="784" w:type="pct"/>
            <w:tcBorders>
              <w:left w:val="nil"/>
              <w:right w:val="nil"/>
            </w:tcBorders>
            <w:vAlign w:val="center"/>
          </w:tcPr>
          <w:p w14:paraId="360CEEE5" w14:textId="0B0B14EB"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color w:val="000000" w:themeColor="text1"/>
                <w:szCs w:val="20"/>
              </w:rPr>
              <w:t>(7 855)</w:t>
            </w:r>
          </w:p>
        </w:tc>
        <w:tc>
          <w:tcPr>
            <w:tcW w:w="620" w:type="pct"/>
            <w:tcBorders>
              <w:left w:val="nil"/>
              <w:right w:val="nil"/>
            </w:tcBorders>
            <w:vAlign w:val="center"/>
          </w:tcPr>
          <w:p w14:paraId="29359A97" w14:textId="70D68637"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(34 624)</w:t>
            </w:r>
          </w:p>
        </w:tc>
      </w:tr>
      <w:tr w:rsidR="00557901" w:rsidRPr="00F00A3F" w14:paraId="380A1023" w14:textId="77777777" w:rsidTr="00D4283A">
        <w:trPr>
          <w:trHeight w:val="255"/>
        </w:trPr>
        <w:tc>
          <w:tcPr>
            <w:tcW w:w="1643" w:type="pct"/>
            <w:tcBorders>
              <w:left w:val="nil"/>
              <w:right w:val="nil"/>
            </w:tcBorders>
            <w:noWrap/>
            <w:vAlign w:val="center"/>
          </w:tcPr>
          <w:p w14:paraId="005F939A" w14:textId="0471FDE7" w:rsidR="00557901" w:rsidRPr="00F00A3F" w:rsidRDefault="00557901" w:rsidP="00557901">
            <w:pPr>
              <w:jc w:val="left"/>
              <w:rPr>
                <w:rFonts w:asciiTheme="minorHAnsi" w:hAnsiTheme="minorHAnsi" w:cstheme="minorHAnsi"/>
                <w:color w:val="000000" w:themeColor="text1"/>
                <w:szCs w:val="20"/>
              </w:rPr>
            </w:pPr>
            <w:r w:rsidRPr="00F00A3F">
              <w:rPr>
                <w:rFonts w:asciiTheme="minorHAnsi" w:hAnsiTheme="minorHAnsi" w:cstheme="minorHAnsi"/>
                <w:b/>
                <w:bCs/>
                <w:color w:val="000000" w:themeColor="text1"/>
                <w:szCs w:val="20"/>
              </w:rPr>
              <w:t>Чиста балансова вартість</w:t>
            </w:r>
          </w:p>
        </w:tc>
        <w:tc>
          <w:tcPr>
            <w:tcW w:w="591" w:type="pct"/>
            <w:tcBorders>
              <w:left w:val="nil"/>
              <w:right w:val="nil"/>
            </w:tcBorders>
            <w:vAlign w:val="center"/>
          </w:tcPr>
          <w:p w14:paraId="6DAE3490" w14:textId="342E2994" w:rsidR="00557901" w:rsidRPr="00F00A3F" w:rsidRDefault="00557901" w:rsidP="00557901">
            <w:pPr>
              <w:jc w:val="right"/>
              <w:rPr>
                <w:rFonts w:asciiTheme="minorHAnsi" w:hAnsiTheme="minorHAnsi" w:cstheme="minorHAnsi"/>
                <w:color w:val="000000" w:themeColor="text1"/>
                <w:szCs w:val="20"/>
              </w:rPr>
            </w:pPr>
            <w:r>
              <w:rPr>
                <w:rFonts w:asciiTheme="minorHAnsi" w:hAnsiTheme="minorHAnsi" w:cstheme="minorHAnsi"/>
                <w:b/>
                <w:bCs/>
                <w:color w:val="000000" w:themeColor="text1"/>
                <w:szCs w:val="20"/>
              </w:rPr>
              <w:t>2 720</w:t>
            </w:r>
            <w:r w:rsidRPr="00F00A3F">
              <w:rPr>
                <w:rFonts w:asciiTheme="minorHAnsi" w:hAnsiTheme="minorHAnsi" w:cstheme="minorHAnsi"/>
                <w:b/>
                <w:bCs/>
                <w:color w:val="000000" w:themeColor="text1"/>
                <w:szCs w:val="20"/>
              </w:rPr>
              <w:t xml:space="preserve"> </w:t>
            </w:r>
          </w:p>
        </w:tc>
        <w:tc>
          <w:tcPr>
            <w:tcW w:w="613" w:type="pct"/>
            <w:tcBorders>
              <w:left w:val="nil"/>
              <w:right w:val="nil"/>
            </w:tcBorders>
            <w:vAlign w:val="center"/>
          </w:tcPr>
          <w:p w14:paraId="148807F2" w14:textId="43AD8A95" w:rsidR="00557901" w:rsidRPr="00924AD3" w:rsidRDefault="00557901" w:rsidP="00D65ECA">
            <w:pPr>
              <w:jc w:val="right"/>
              <w:rPr>
                <w:rFonts w:asciiTheme="minorHAnsi" w:hAnsiTheme="minorHAnsi" w:cstheme="minorHAnsi"/>
                <w:b/>
                <w:bCs/>
                <w:color w:val="000000" w:themeColor="text1"/>
                <w:szCs w:val="20"/>
              </w:rPr>
            </w:pPr>
            <w:r w:rsidRPr="00924AD3">
              <w:rPr>
                <w:rFonts w:asciiTheme="minorHAnsi" w:hAnsiTheme="minorHAnsi" w:cstheme="minorHAnsi"/>
                <w:b/>
                <w:bCs/>
                <w:color w:val="000000" w:themeColor="text1"/>
                <w:szCs w:val="20"/>
              </w:rPr>
              <w:t>4 31</w:t>
            </w:r>
            <w:r w:rsidR="00D65ECA" w:rsidRPr="00924AD3">
              <w:rPr>
                <w:rFonts w:asciiTheme="minorHAnsi" w:hAnsiTheme="minorHAnsi" w:cstheme="minorHAnsi"/>
                <w:b/>
                <w:bCs/>
                <w:color w:val="000000" w:themeColor="text1"/>
                <w:szCs w:val="20"/>
              </w:rPr>
              <w:t>8</w:t>
            </w:r>
            <w:r w:rsidRPr="00924AD3">
              <w:rPr>
                <w:rFonts w:asciiTheme="minorHAnsi" w:hAnsiTheme="minorHAnsi" w:cstheme="minorHAnsi"/>
                <w:b/>
                <w:bCs/>
                <w:color w:val="000000" w:themeColor="text1"/>
                <w:szCs w:val="20"/>
              </w:rPr>
              <w:t xml:space="preserve"> </w:t>
            </w:r>
          </w:p>
        </w:tc>
        <w:tc>
          <w:tcPr>
            <w:tcW w:w="749" w:type="pct"/>
            <w:tcBorders>
              <w:left w:val="nil"/>
              <w:right w:val="nil"/>
            </w:tcBorders>
            <w:vAlign w:val="center"/>
          </w:tcPr>
          <w:p w14:paraId="4F236C4D" w14:textId="03F01255"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 xml:space="preserve">13 468 </w:t>
            </w:r>
          </w:p>
        </w:tc>
        <w:tc>
          <w:tcPr>
            <w:tcW w:w="784" w:type="pct"/>
            <w:tcBorders>
              <w:left w:val="nil"/>
              <w:right w:val="nil"/>
            </w:tcBorders>
            <w:vAlign w:val="center"/>
          </w:tcPr>
          <w:p w14:paraId="1CFEB518" w14:textId="2B340B1A" w:rsidR="00557901" w:rsidRPr="00924AD3" w:rsidRDefault="00557901" w:rsidP="00D65ECA">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21 07</w:t>
            </w:r>
            <w:r w:rsidR="00D65ECA" w:rsidRPr="00924AD3">
              <w:rPr>
                <w:rFonts w:asciiTheme="minorHAnsi" w:hAnsiTheme="minorHAnsi" w:cstheme="minorHAnsi"/>
                <w:b/>
                <w:bCs/>
                <w:color w:val="000000" w:themeColor="text1"/>
                <w:szCs w:val="20"/>
              </w:rPr>
              <w:t>4</w:t>
            </w:r>
            <w:r w:rsidRPr="00924AD3">
              <w:rPr>
                <w:rFonts w:asciiTheme="minorHAnsi" w:hAnsiTheme="minorHAnsi" w:cstheme="minorHAnsi"/>
                <w:b/>
                <w:bCs/>
                <w:color w:val="000000" w:themeColor="text1"/>
                <w:szCs w:val="20"/>
              </w:rPr>
              <w:t xml:space="preserve"> </w:t>
            </w:r>
          </w:p>
        </w:tc>
        <w:tc>
          <w:tcPr>
            <w:tcW w:w="620" w:type="pct"/>
            <w:tcBorders>
              <w:left w:val="nil"/>
              <w:right w:val="nil"/>
            </w:tcBorders>
            <w:vAlign w:val="center"/>
          </w:tcPr>
          <w:p w14:paraId="72761B81" w14:textId="4094E6B4" w:rsidR="00557901" w:rsidRPr="00924AD3" w:rsidRDefault="00557901" w:rsidP="00557901">
            <w:pPr>
              <w:jc w:val="right"/>
              <w:rPr>
                <w:rFonts w:asciiTheme="minorHAnsi" w:hAnsiTheme="minorHAnsi" w:cstheme="minorHAnsi"/>
                <w:color w:val="000000" w:themeColor="text1"/>
                <w:szCs w:val="20"/>
              </w:rPr>
            </w:pPr>
            <w:r w:rsidRPr="00924AD3">
              <w:rPr>
                <w:rFonts w:asciiTheme="minorHAnsi" w:hAnsiTheme="minorHAnsi" w:cstheme="minorHAnsi"/>
                <w:b/>
                <w:bCs/>
                <w:color w:val="000000" w:themeColor="text1"/>
                <w:szCs w:val="20"/>
              </w:rPr>
              <w:t xml:space="preserve">41 580 </w:t>
            </w:r>
          </w:p>
        </w:tc>
      </w:tr>
    </w:tbl>
    <w:p w14:paraId="19C5558B" w14:textId="1C40BDEB" w:rsidR="00971808" w:rsidRPr="00F00A3F" w:rsidRDefault="00971808" w:rsidP="00971808">
      <w:pPr>
        <w:spacing w:before="120" w:after="120"/>
        <w:rPr>
          <w:b/>
          <w:color w:val="000000" w:themeColor="text1"/>
          <w:szCs w:val="20"/>
        </w:rPr>
      </w:pPr>
    </w:p>
    <w:tbl>
      <w:tblPr>
        <w:tblW w:w="5001" w:type="pct"/>
        <w:tblLook w:val="00A0" w:firstRow="1" w:lastRow="0" w:firstColumn="1" w:lastColumn="0" w:noHBand="0" w:noVBand="0"/>
      </w:tblPr>
      <w:tblGrid>
        <w:gridCol w:w="6905"/>
        <w:gridCol w:w="1517"/>
        <w:gridCol w:w="1217"/>
      </w:tblGrid>
      <w:tr w:rsidR="002A6091" w:rsidRPr="00F00A3F" w14:paraId="07BCFED8" w14:textId="778A3C85" w:rsidTr="002A6091">
        <w:trPr>
          <w:trHeight w:val="507"/>
        </w:trPr>
        <w:tc>
          <w:tcPr>
            <w:tcW w:w="3582" w:type="pct"/>
            <w:tcBorders>
              <w:left w:val="nil"/>
              <w:bottom w:val="single" w:sz="4" w:space="0" w:color="auto"/>
              <w:right w:val="nil"/>
            </w:tcBorders>
            <w:vAlign w:val="center"/>
          </w:tcPr>
          <w:p w14:paraId="259FB22B" w14:textId="58880989" w:rsidR="002A6091" w:rsidRPr="00F00A3F" w:rsidRDefault="002A6091" w:rsidP="00D4283A">
            <w:pPr>
              <w:jc w:val="left"/>
              <w:rPr>
                <w:color w:val="000000" w:themeColor="text1"/>
                <w:szCs w:val="20"/>
              </w:rPr>
            </w:pPr>
            <w:r w:rsidRPr="00F00A3F">
              <w:rPr>
                <w:b/>
                <w:bCs/>
                <w:color w:val="000000" w:themeColor="text1"/>
                <w:szCs w:val="20"/>
              </w:rPr>
              <w:t>22.2 Витрати з відсотків, нарахованих за зобов'язаннями по оренді що включалися до фінансових витрат у Звіті про прибутки і збитки:</w:t>
            </w:r>
          </w:p>
        </w:tc>
        <w:tc>
          <w:tcPr>
            <w:tcW w:w="787" w:type="pct"/>
            <w:tcBorders>
              <w:left w:val="nil"/>
              <w:bottom w:val="single" w:sz="4" w:space="0" w:color="auto"/>
              <w:right w:val="nil"/>
            </w:tcBorders>
            <w:vAlign w:val="bottom"/>
          </w:tcPr>
          <w:p w14:paraId="1FDA21F2" w14:textId="513C8994" w:rsidR="002A6091" w:rsidRPr="00F00A3F" w:rsidRDefault="002A6091" w:rsidP="001919F4">
            <w:pPr>
              <w:jc w:val="right"/>
              <w:rPr>
                <w:b/>
                <w:bCs/>
                <w:color w:val="000000" w:themeColor="text1"/>
                <w:szCs w:val="20"/>
              </w:rPr>
            </w:pPr>
            <w:r>
              <w:rPr>
                <w:b/>
                <w:bCs/>
                <w:color w:val="000000" w:themeColor="text1"/>
                <w:szCs w:val="20"/>
              </w:rPr>
              <w:t>31.12.20</w:t>
            </w:r>
            <w:r w:rsidR="004F0F5A">
              <w:rPr>
                <w:b/>
                <w:bCs/>
                <w:color w:val="000000" w:themeColor="text1"/>
                <w:szCs w:val="20"/>
              </w:rPr>
              <w:t>20</w:t>
            </w:r>
          </w:p>
        </w:tc>
        <w:tc>
          <w:tcPr>
            <w:tcW w:w="631" w:type="pct"/>
            <w:tcBorders>
              <w:left w:val="nil"/>
              <w:bottom w:val="single" w:sz="4" w:space="0" w:color="auto"/>
              <w:right w:val="nil"/>
            </w:tcBorders>
            <w:vAlign w:val="bottom"/>
          </w:tcPr>
          <w:p w14:paraId="0D40B068" w14:textId="7BE28866" w:rsidR="002A6091" w:rsidRPr="00F00A3F" w:rsidRDefault="002A6091" w:rsidP="001919F4">
            <w:pPr>
              <w:jc w:val="right"/>
              <w:rPr>
                <w:color w:val="000000" w:themeColor="text1"/>
                <w:szCs w:val="20"/>
              </w:rPr>
            </w:pPr>
            <w:r w:rsidRPr="00F00A3F">
              <w:rPr>
                <w:b/>
                <w:bCs/>
                <w:color w:val="000000" w:themeColor="text1"/>
                <w:szCs w:val="20"/>
              </w:rPr>
              <w:t>31.12.20</w:t>
            </w:r>
            <w:r w:rsidR="004F0F5A">
              <w:rPr>
                <w:b/>
                <w:bCs/>
                <w:color w:val="000000" w:themeColor="text1"/>
                <w:szCs w:val="20"/>
              </w:rPr>
              <w:t>19</w:t>
            </w:r>
          </w:p>
        </w:tc>
      </w:tr>
      <w:tr w:rsidR="002A6091" w:rsidRPr="00F00A3F" w14:paraId="09F26949" w14:textId="05BC4373" w:rsidTr="002A6091">
        <w:trPr>
          <w:trHeight w:val="57"/>
        </w:trPr>
        <w:tc>
          <w:tcPr>
            <w:tcW w:w="3582" w:type="pct"/>
            <w:tcBorders>
              <w:top w:val="single" w:sz="4" w:space="0" w:color="auto"/>
              <w:left w:val="nil"/>
              <w:right w:val="nil"/>
            </w:tcBorders>
            <w:vAlign w:val="center"/>
          </w:tcPr>
          <w:p w14:paraId="78895458" w14:textId="63E774F6" w:rsidR="002A6091" w:rsidRPr="00F00A3F" w:rsidRDefault="002A6091" w:rsidP="002A6091">
            <w:pPr>
              <w:jc w:val="left"/>
              <w:rPr>
                <w:color w:val="000000" w:themeColor="text1"/>
                <w:szCs w:val="20"/>
              </w:rPr>
            </w:pPr>
            <w:r w:rsidRPr="00F00A3F">
              <w:rPr>
                <w:color w:val="000000" w:themeColor="text1"/>
                <w:szCs w:val="20"/>
              </w:rPr>
              <w:t>Земельні ділянки</w:t>
            </w:r>
          </w:p>
        </w:tc>
        <w:tc>
          <w:tcPr>
            <w:tcW w:w="787" w:type="pct"/>
            <w:tcBorders>
              <w:top w:val="single" w:sz="4" w:space="0" w:color="auto"/>
              <w:left w:val="nil"/>
              <w:right w:val="nil"/>
            </w:tcBorders>
            <w:vAlign w:val="center"/>
          </w:tcPr>
          <w:p w14:paraId="6CCBB966" w14:textId="7AB75E52" w:rsidR="002A6091" w:rsidRPr="00F00A3F" w:rsidRDefault="002A6091" w:rsidP="002A6091">
            <w:pPr>
              <w:jc w:val="right"/>
              <w:rPr>
                <w:color w:val="000000" w:themeColor="text1"/>
                <w:szCs w:val="20"/>
              </w:rPr>
            </w:pPr>
            <w:r>
              <w:rPr>
                <w:color w:val="000000" w:themeColor="text1"/>
                <w:szCs w:val="20"/>
              </w:rPr>
              <w:t xml:space="preserve"> (840</w:t>
            </w:r>
            <w:r w:rsidRPr="00F00A3F">
              <w:rPr>
                <w:color w:val="000000" w:themeColor="text1"/>
                <w:szCs w:val="20"/>
              </w:rPr>
              <w:t>)</w:t>
            </w:r>
          </w:p>
        </w:tc>
        <w:tc>
          <w:tcPr>
            <w:tcW w:w="631" w:type="pct"/>
            <w:tcBorders>
              <w:top w:val="single" w:sz="4" w:space="0" w:color="auto"/>
              <w:left w:val="nil"/>
              <w:right w:val="nil"/>
            </w:tcBorders>
            <w:vAlign w:val="center"/>
          </w:tcPr>
          <w:p w14:paraId="22745910" w14:textId="4A36A9D0" w:rsidR="002A6091" w:rsidRPr="00F00A3F" w:rsidRDefault="002A6091" w:rsidP="002A6091">
            <w:pPr>
              <w:jc w:val="right"/>
              <w:rPr>
                <w:color w:val="000000" w:themeColor="text1"/>
                <w:szCs w:val="20"/>
              </w:rPr>
            </w:pPr>
            <w:r w:rsidRPr="00F00A3F">
              <w:rPr>
                <w:color w:val="000000" w:themeColor="text1"/>
                <w:szCs w:val="20"/>
              </w:rPr>
              <w:t xml:space="preserve"> (</w:t>
            </w:r>
            <w:r>
              <w:rPr>
                <w:color w:val="000000" w:themeColor="text1"/>
                <w:szCs w:val="20"/>
              </w:rPr>
              <w:t>993</w:t>
            </w:r>
            <w:r w:rsidRPr="00F00A3F">
              <w:rPr>
                <w:color w:val="000000" w:themeColor="text1"/>
                <w:szCs w:val="20"/>
              </w:rPr>
              <w:t>)</w:t>
            </w:r>
          </w:p>
        </w:tc>
      </w:tr>
      <w:tr w:rsidR="002A6091" w:rsidRPr="00F00A3F" w14:paraId="0BD5D8F4" w14:textId="77777777" w:rsidTr="002A6091">
        <w:trPr>
          <w:trHeight w:val="57"/>
        </w:trPr>
        <w:tc>
          <w:tcPr>
            <w:tcW w:w="3582" w:type="pct"/>
            <w:tcBorders>
              <w:left w:val="nil"/>
              <w:right w:val="nil"/>
            </w:tcBorders>
            <w:vAlign w:val="center"/>
          </w:tcPr>
          <w:p w14:paraId="410ECBA7" w14:textId="417EDD9B" w:rsidR="002A6091" w:rsidRPr="00F00A3F" w:rsidRDefault="002A6091" w:rsidP="002A6091">
            <w:pPr>
              <w:jc w:val="left"/>
              <w:rPr>
                <w:color w:val="000000" w:themeColor="text1"/>
                <w:szCs w:val="20"/>
              </w:rPr>
            </w:pPr>
            <w:r w:rsidRPr="00F00A3F">
              <w:rPr>
                <w:color w:val="000000" w:themeColor="text1"/>
                <w:szCs w:val="20"/>
              </w:rPr>
              <w:t>Будинки та споруди</w:t>
            </w:r>
          </w:p>
        </w:tc>
        <w:tc>
          <w:tcPr>
            <w:tcW w:w="787" w:type="pct"/>
            <w:tcBorders>
              <w:left w:val="nil"/>
              <w:right w:val="nil"/>
            </w:tcBorders>
            <w:vAlign w:val="center"/>
          </w:tcPr>
          <w:p w14:paraId="02187797" w14:textId="58863F90" w:rsidR="002A6091" w:rsidRPr="00F00A3F" w:rsidRDefault="002A6091" w:rsidP="002A6091">
            <w:pPr>
              <w:jc w:val="right"/>
              <w:rPr>
                <w:color w:val="000000" w:themeColor="text1"/>
                <w:szCs w:val="20"/>
              </w:rPr>
            </w:pPr>
            <w:r>
              <w:rPr>
                <w:color w:val="000000" w:themeColor="text1"/>
                <w:szCs w:val="20"/>
              </w:rPr>
              <w:t xml:space="preserve"> (1 485</w:t>
            </w:r>
            <w:r w:rsidRPr="00F00A3F">
              <w:rPr>
                <w:color w:val="000000" w:themeColor="text1"/>
                <w:szCs w:val="20"/>
              </w:rPr>
              <w:t>)</w:t>
            </w:r>
          </w:p>
        </w:tc>
        <w:tc>
          <w:tcPr>
            <w:tcW w:w="631" w:type="pct"/>
            <w:tcBorders>
              <w:left w:val="nil"/>
              <w:right w:val="nil"/>
            </w:tcBorders>
            <w:vAlign w:val="center"/>
          </w:tcPr>
          <w:p w14:paraId="6FA79A42" w14:textId="444E1FCB" w:rsidR="002A6091" w:rsidRPr="00F00A3F" w:rsidRDefault="002A6091" w:rsidP="002A6091">
            <w:pPr>
              <w:jc w:val="right"/>
              <w:rPr>
                <w:color w:val="000000" w:themeColor="text1"/>
                <w:szCs w:val="20"/>
              </w:rPr>
            </w:pPr>
            <w:r w:rsidRPr="00F00A3F">
              <w:rPr>
                <w:color w:val="000000" w:themeColor="text1"/>
                <w:szCs w:val="20"/>
              </w:rPr>
              <w:t xml:space="preserve"> (</w:t>
            </w:r>
            <w:r>
              <w:rPr>
                <w:color w:val="000000" w:themeColor="text1"/>
                <w:szCs w:val="20"/>
              </w:rPr>
              <w:t>2 292</w:t>
            </w:r>
            <w:r w:rsidRPr="00F00A3F">
              <w:rPr>
                <w:color w:val="000000" w:themeColor="text1"/>
                <w:szCs w:val="20"/>
              </w:rPr>
              <w:t>)</w:t>
            </w:r>
          </w:p>
        </w:tc>
      </w:tr>
      <w:tr w:rsidR="002A6091" w:rsidRPr="00F00A3F" w14:paraId="7D002CF0" w14:textId="64897CD3" w:rsidTr="002A6091">
        <w:trPr>
          <w:trHeight w:val="255"/>
        </w:trPr>
        <w:tc>
          <w:tcPr>
            <w:tcW w:w="3582" w:type="pct"/>
            <w:tcBorders>
              <w:top w:val="nil"/>
              <w:left w:val="nil"/>
              <w:right w:val="nil"/>
            </w:tcBorders>
            <w:vAlign w:val="center"/>
          </w:tcPr>
          <w:p w14:paraId="33BDB956" w14:textId="489D06FD" w:rsidR="002A6091" w:rsidRPr="00F00A3F" w:rsidRDefault="002A6091" w:rsidP="002A6091">
            <w:pPr>
              <w:jc w:val="left"/>
              <w:rPr>
                <w:color w:val="000000" w:themeColor="text1"/>
                <w:szCs w:val="20"/>
              </w:rPr>
            </w:pPr>
            <w:r w:rsidRPr="00F00A3F">
              <w:rPr>
                <w:color w:val="000000" w:themeColor="text1"/>
                <w:szCs w:val="20"/>
              </w:rPr>
              <w:t>Транспортні засоби</w:t>
            </w:r>
          </w:p>
        </w:tc>
        <w:tc>
          <w:tcPr>
            <w:tcW w:w="787" w:type="pct"/>
            <w:tcBorders>
              <w:top w:val="nil"/>
              <w:left w:val="nil"/>
              <w:right w:val="nil"/>
            </w:tcBorders>
            <w:vAlign w:val="center"/>
          </w:tcPr>
          <w:p w14:paraId="31EDB346" w14:textId="3DCDC7C9" w:rsidR="002A6091" w:rsidRPr="00F00A3F" w:rsidRDefault="002A6091" w:rsidP="002A6091">
            <w:pPr>
              <w:jc w:val="right"/>
              <w:rPr>
                <w:color w:val="000000" w:themeColor="text1"/>
                <w:szCs w:val="20"/>
              </w:rPr>
            </w:pPr>
            <w:r>
              <w:rPr>
                <w:color w:val="000000" w:themeColor="text1"/>
                <w:szCs w:val="20"/>
              </w:rPr>
              <w:t xml:space="preserve"> (2 908</w:t>
            </w:r>
            <w:r w:rsidRPr="00F00A3F">
              <w:rPr>
                <w:color w:val="000000" w:themeColor="text1"/>
                <w:szCs w:val="20"/>
              </w:rPr>
              <w:t>)</w:t>
            </w:r>
          </w:p>
        </w:tc>
        <w:tc>
          <w:tcPr>
            <w:tcW w:w="631" w:type="pct"/>
            <w:tcBorders>
              <w:top w:val="nil"/>
              <w:left w:val="nil"/>
              <w:right w:val="nil"/>
            </w:tcBorders>
            <w:vAlign w:val="center"/>
          </w:tcPr>
          <w:p w14:paraId="09868578" w14:textId="3C5AB3C2" w:rsidR="002A6091" w:rsidRPr="00F00A3F" w:rsidRDefault="002A6091" w:rsidP="002A6091">
            <w:pPr>
              <w:jc w:val="right"/>
              <w:rPr>
                <w:color w:val="000000" w:themeColor="text1"/>
                <w:szCs w:val="20"/>
              </w:rPr>
            </w:pPr>
            <w:r w:rsidRPr="00F00A3F">
              <w:rPr>
                <w:color w:val="000000" w:themeColor="text1"/>
                <w:szCs w:val="20"/>
              </w:rPr>
              <w:t xml:space="preserve"> (</w:t>
            </w:r>
            <w:r>
              <w:rPr>
                <w:color w:val="000000" w:themeColor="text1"/>
                <w:szCs w:val="20"/>
              </w:rPr>
              <w:t>2 924</w:t>
            </w:r>
            <w:r w:rsidRPr="00F00A3F">
              <w:rPr>
                <w:color w:val="000000" w:themeColor="text1"/>
                <w:szCs w:val="20"/>
              </w:rPr>
              <w:t>)</w:t>
            </w:r>
          </w:p>
        </w:tc>
      </w:tr>
      <w:tr w:rsidR="002A6091" w:rsidRPr="00F00A3F" w14:paraId="64828D80" w14:textId="08BB05C5" w:rsidTr="002A6091">
        <w:trPr>
          <w:trHeight w:val="255"/>
        </w:trPr>
        <w:tc>
          <w:tcPr>
            <w:tcW w:w="3582" w:type="pct"/>
            <w:tcBorders>
              <w:top w:val="nil"/>
              <w:left w:val="nil"/>
              <w:bottom w:val="single" w:sz="4" w:space="0" w:color="auto"/>
              <w:right w:val="nil"/>
            </w:tcBorders>
            <w:vAlign w:val="center"/>
          </w:tcPr>
          <w:p w14:paraId="0AC8E635" w14:textId="705283C6" w:rsidR="002A6091" w:rsidRPr="00F00A3F" w:rsidRDefault="002A6091" w:rsidP="002A6091">
            <w:pPr>
              <w:jc w:val="left"/>
              <w:rPr>
                <w:color w:val="000000" w:themeColor="text1"/>
                <w:szCs w:val="20"/>
              </w:rPr>
            </w:pPr>
            <w:r w:rsidRPr="00F00A3F">
              <w:rPr>
                <w:color w:val="000000" w:themeColor="text1"/>
                <w:szCs w:val="20"/>
              </w:rPr>
              <w:t xml:space="preserve">Машини та обладнання </w:t>
            </w:r>
          </w:p>
        </w:tc>
        <w:tc>
          <w:tcPr>
            <w:tcW w:w="787" w:type="pct"/>
            <w:tcBorders>
              <w:top w:val="nil"/>
              <w:left w:val="nil"/>
              <w:bottom w:val="single" w:sz="4" w:space="0" w:color="auto"/>
              <w:right w:val="nil"/>
            </w:tcBorders>
            <w:vAlign w:val="center"/>
          </w:tcPr>
          <w:p w14:paraId="2344FCC8" w14:textId="4FF79ED1" w:rsidR="002A6091" w:rsidRPr="00F00A3F" w:rsidRDefault="002A6091" w:rsidP="002A6091">
            <w:pPr>
              <w:jc w:val="right"/>
              <w:rPr>
                <w:color w:val="000000" w:themeColor="text1"/>
                <w:szCs w:val="20"/>
              </w:rPr>
            </w:pPr>
            <w:r>
              <w:rPr>
                <w:color w:val="000000" w:themeColor="text1"/>
                <w:szCs w:val="20"/>
              </w:rPr>
              <w:t xml:space="preserve"> (4 330</w:t>
            </w:r>
            <w:r w:rsidRPr="00F00A3F">
              <w:rPr>
                <w:color w:val="000000" w:themeColor="text1"/>
                <w:szCs w:val="20"/>
              </w:rPr>
              <w:t>)</w:t>
            </w:r>
          </w:p>
        </w:tc>
        <w:tc>
          <w:tcPr>
            <w:tcW w:w="631" w:type="pct"/>
            <w:tcBorders>
              <w:top w:val="nil"/>
              <w:left w:val="nil"/>
              <w:bottom w:val="single" w:sz="4" w:space="0" w:color="auto"/>
              <w:right w:val="nil"/>
            </w:tcBorders>
            <w:vAlign w:val="center"/>
          </w:tcPr>
          <w:p w14:paraId="09D8FA63" w14:textId="5CCC0D52" w:rsidR="002A6091" w:rsidRPr="00F00A3F" w:rsidRDefault="002A6091" w:rsidP="002A6091">
            <w:pPr>
              <w:jc w:val="right"/>
              <w:rPr>
                <w:color w:val="000000" w:themeColor="text1"/>
                <w:szCs w:val="20"/>
              </w:rPr>
            </w:pPr>
            <w:r>
              <w:rPr>
                <w:color w:val="000000" w:themeColor="text1"/>
                <w:szCs w:val="20"/>
              </w:rPr>
              <w:t xml:space="preserve"> (1 980</w:t>
            </w:r>
            <w:r w:rsidRPr="00F00A3F">
              <w:rPr>
                <w:color w:val="000000" w:themeColor="text1"/>
                <w:szCs w:val="20"/>
              </w:rPr>
              <w:t>)</w:t>
            </w:r>
          </w:p>
        </w:tc>
      </w:tr>
      <w:tr w:rsidR="002A6091" w:rsidRPr="008756CD" w14:paraId="2336A243" w14:textId="77777777" w:rsidTr="002A6091">
        <w:trPr>
          <w:trHeight w:val="255"/>
        </w:trPr>
        <w:tc>
          <w:tcPr>
            <w:tcW w:w="3582" w:type="pct"/>
            <w:tcBorders>
              <w:top w:val="single" w:sz="4" w:space="0" w:color="auto"/>
              <w:left w:val="nil"/>
              <w:right w:val="nil"/>
            </w:tcBorders>
            <w:vAlign w:val="center"/>
          </w:tcPr>
          <w:p w14:paraId="37DA8275" w14:textId="18C70937" w:rsidR="002A6091" w:rsidRPr="00F00A3F" w:rsidRDefault="002A6091" w:rsidP="002A6091">
            <w:pPr>
              <w:jc w:val="left"/>
              <w:rPr>
                <w:color w:val="000000" w:themeColor="text1"/>
                <w:szCs w:val="20"/>
              </w:rPr>
            </w:pPr>
            <w:r w:rsidRPr="00F00A3F">
              <w:rPr>
                <w:b/>
                <w:bCs/>
                <w:color w:val="000000" w:themeColor="text1"/>
                <w:szCs w:val="20"/>
              </w:rPr>
              <w:t>Разом</w:t>
            </w:r>
          </w:p>
        </w:tc>
        <w:tc>
          <w:tcPr>
            <w:tcW w:w="787" w:type="pct"/>
            <w:tcBorders>
              <w:top w:val="single" w:sz="4" w:space="0" w:color="auto"/>
              <w:left w:val="nil"/>
              <w:right w:val="nil"/>
            </w:tcBorders>
            <w:vAlign w:val="center"/>
          </w:tcPr>
          <w:p w14:paraId="73A372C3" w14:textId="637381CD" w:rsidR="002A6091" w:rsidRPr="00F00A3F" w:rsidRDefault="002A6091" w:rsidP="002A6091">
            <w:pPr>
              <w:jc w:val="right"/>
              <w:rPr>
                <w:b/>
                <w:bCs/>
                <w:color w:val="000000" w:themeColor="text1"/>
                <w:szCs w:val="20"/>
              </w:rPr>
            </w:pPr>
            <w:r w:rsidRPr="00F00A3F">
              <w:rPr>
                <w:b/>
                <w:bCs/>
                <w:color w:val="000000" w:themeColor="text1"/>
                <w:szCs w:val="20"/>
              </w:rPr>
              <w:t>(</w:t>
            </w:r>
            <w:r>
              <w:rPr>
                <w:b/>
                <w:bCs/>
                <w:color w:val="000000" w:themeColor="text1"/>
                <w:szCs w:val="20"/>
              </w:rPr>
              <w:t>9 563</w:t>
            </w:r>
            <w:r w:rsidRPr="00F00A3F">
              <w:rPr>
                <w:b/>
                <w:bCs/>
                <w:color w:val="000000" w:themeColor="text1"/>
                <w:szCs w:val="20"/>
              </w:rPr>
              <w:t>)</w:t>
            </w:r>
          </w:p>
        </w:tc>
        <w:tc>
          <w:tcPr>
            <w:tcW w:w="631" w:type="pct"/>
            <w:tcBorders>
              <w:top w:val="single" w:sz="4" w:space="0" w:color="auto"/>
              <w:left w:val="nil"/>
              <w:right w:val="nil"/>
            </w:tcBorders>
            <w:vAlign w:val="center"/>
          </w:tcPr>
          <w:p w14:paraId="54CBA2F0" w14:textId="4D217163" w:rsidR="002A6091" w:rsidRPr="00F00A3F" w:rsidRDefault="002A6091" w:rsidP="002A6091">
            <w:pPr>
              <w:jc w:val="right"/>
              <w:rPr>
                <w:color w:val="000000" w:themeColor="text1"/>
                <w:szCs w:val="20"/>
              </w:rPr>
            </w:pPr>
            <w:r w:rsidRPr="00F00A3F">
              <w:rPr>
                <w:b/>
                <w:bCs/>
                <w:color w:val="000000" w:themeColor="text1"/>
                <w:szCs w:val="20"/>
              </w:rPr>
              <w:t>(</w:t>
            </w:r>
            <w:r>
              <w:rPr>
                <w:b/>
                <w:bCs/>
                <w:color w:val="000000" w:themeColor="text1"/>
                <w:szCs w:val="20"/>
              </w:rPr>
              <w:t>8 189</w:t>
            </w:r>
            <w:r w:rsidRPr="00F00A3F">
              <w:rPr>
                <w:b/>
                <w:bCs/>
                <w:color w:val="000000" w:themeColor="text1"/>
                <w:szCs w:val="20"/>
              </w:rPr>
              <w:t>)</w:t>
            </w:r>
          </w:p>
        </w:tc>
      </w:tr>
    </w:tbl>
    <w:p w14:paraId="0EA2F1EF" w14:textId="68295971" w:rsidR="00C45797" w:rsidRPr="008756CD" w:rsidRDefault="00C45797" w:rsidP="00467D04">
      <w:pPr>
        <w:spacing w:before="120"/>
        <w:rPr>
          <w:b/>
          <w:color w:val="000000" w:themeColor="text1"/>
          <w:szCs w:val="20"/>
          <w:highlight w:val="yellow"/>
        </w:rPr>
      </w:pPr>
    </w:p>
    <w:tbl>
      <w:tblPr>
        <w:tblW w:w="5001" w:type="pct"/>
        <w:tblLook w:val="00A0" w:firstRow="1" w:lastRow="0" w:firstColumn="1" w:lastColumn="0" w:noHBand="0" w:noVBand="0"/>
      </w:tblPr>
      <w:tblGrid>
        <w:gridCol w:w="6946"/>
        <w:gridCol w:w="1419"/>
        <w:gridCol w:w="1274"/>
      </w:tblGrid>
      <w:tr w:rsidR="004F0F5A" w:rsidRPr="008756CD" w14:paraId="727CA813" w14:textId="77777777" w:rsidTr="009A2B41">
        <w:trPr>
          <w:trHeight w:val="505"/>
        </w:trPr>
        <w:tc>
          <w:tcPr>
            <w:tcW w:w="3603" w:type="pct"/>
            <w:tcBorders>
              <w:left w:val="nil"/>
              <w:bottom w:val="single" w:sz="4" w:space="0" w:color="auto"/>
              <w:right w:val="nil"/>
            </w:tcBorders>
            <w:vAlign w:val="center"/>
          </w:tcPr>
          <w:p w14:paraId="13B4F670" w14:textId="2162C59F" w:rsidR="004F0F5A" w:rsidRPr="004F0F5A" w:rsidRDefault="004F0F5A" w:rsidP="004F0F5A">
            <w:pPr>
              <w:jc w:val="left"/>
              <w:rPr>
                <w:color w:val="000000" w:themeColor="text1"/>
                <w:szCs w:val="20"/>
              </w:rPr>
            </w:pPr>
            <w:r w:rsidRPr="004F0F5A">
              <w:rPr>
                <w:b/>
                <w:bCs/>
                <w:color w:val="000000" w:themeColor="text1"/>
                <w:szCs w:val="20"/>
              </w:rPr>
              <w:t>22.3 Майбутні мінімальні орендні платежі за договорами оренди і теперішня вартість чистих мінімальних орендних платежів:</w:t>
            </w:r>
          </w:p>
        </w:tc>
        <w:tc>
          <w:tcPr>
            <w:tcW w:w="736" w:type="pct"/>
            <w:tcBorders>
              <w:left w:val="nil"/>
              <w:bottom w:val="single" w:sz="4" w:space="0" w:color="auto"/>
              <w:right w:val="nil"/>
            </w:tcBorders>
            <w:vAlign w:val="bottom"/>
          </w:tcPr>
          <w:p w14:paraId="05F5B5FF" w14:textId="547B4C41" w:rsidR="004F0F5A" w:rsidRPr="008756CD" w:rsidRDefault="004F0F5A" w:rsidP="004F0F5A">
            <w:pPr>
              <w:jc w:val="right"/>
              <w:rPr>
                <w:b/>
                <w:bCs/>
                <w:color w:val="000000" w:themeColor="text1"/>
                <w:szCs w:val="20"/>
                <w:highlight w:val="yellow"/>
              </w:rPr>
            </w:pPr>
            <w:r>
              <w:rPr>
                <w:b/>
                <w:bCs/>
                <w:color w:val="000000" w:themeColor="text1"/>
                <w:szCs w:val="20"/>
              </w:rPr>
              <w:t>31.12.2020</w:t>
            </w:r>
          </w:p>
        </w:tc>
        <w:tc>
          <w:tcPr>
            <w:tcW w:w="661" w:type="pct"/>
            <w:tcBorders>
              <w:left w:val="nil"/>
              <w:bottom w:val="single" w:sz="4" w:space="0" w:color="auto"/>
              <w:right w:val="nil"/>
            </w:tcBorders>
            <w:vAlign w:val="bottom"/>
          </w:tcPr>
          <w:p w14:paraId="205EDE23" w14:textId="5B37CB5D" w:rsidR="004F0F5A" w:rsidRPr="004F0F5A" w:rsidRDefault="004F0F5A" w:rsidP="004F0F5A">
            <w:pPr>
              <w:jc w:val="right"/>
              <w:rPr>
                <w:color w:val="000000" w:themeColor="text1"/>
                <w:szCs w:val="20"/>
              </w:rPr>
            </w:pPr>
            <w:r w:rsidRPr="004F0F5A">
              <w:rPr>
                <w:b/>
                <w:bCs/>
                <w:color w:val="000000" w:themeColor="text1"/>
                <w:szCs w:val="20"/>
              </w:rPr>
              <w:t>31.12.2019</w:t>
            </w:r>
          </w:p>
        </w:tc>
      </w:tr>
      <w:tr w:rsidR="004F0F5A" w:rsidRPr="008756CD" w14:paraId="611DA749" w14:textId="77777777" w:rsidTr="009A2B41">
        <w:trPr>
          <w:trHeight w:val="57"/>
        </w:trPr>
        <w:tc>
          <w:tcPr>
            <w:tcW w:w="3603" w:type="pct"/>
            <w:tcBorders>
              <w:top w:val="single" w:sz="4" w:space="0" w:color="auto"/>
              <w:left w:val="nil"/>
              <w:right w:val="nil"/>
            </w:tcBorders>
            <w:vAlign w:val="center"/>
          </w:tcPr>
          <w:p w14:paraId="3348C60F" w14:textId="2140BA90" w:rsidR="004F0F5A" w:rsidRPr="004F0F5A" w:rsidRDefault="004F0F5A" w:rsidP="004F0F5A">
            <w:pPr>
              <w:jc w:val="left"/>
              <w:rPr>
                <w:b/>
                <w:color w:val="000000" w:themeColor="text1"/>
                <w:szCs w:val="20"/>
              </w:rPr>
            </w:pPr>
            <w:r w:rsidRPr="004F0F5A">
              <w:rPr>
                <w:b/>
                <w:color w:val="000000" w:themeColor="text1"/>
                <w:szCs w:val="20"/>
              </w:rPr>
              <w:t>Мінімальні орендні платежі, включаючи:</w:t>
            </w:r>
          </w:p>
        </w:tc>
        <w:tc>
          <w:tcPr>
            <w:tcW w:w="736" w:type="pct"/>
            <w:tcBorders>
              <w:top w:val="single" w:sz="4" w:space="0" w:color="auto"/>
              <w:left w:val="nil"/>
              <w:right w:val="nil"/>
            </w:tcBorders>
            <w:vAlign w:val="center"/>
          </w:tcPr>
          <w:p w14:paraId="2A375073" w14:textId="35A941BC" w:rsidR="004F0F5A" w:rsidRPr="00417112" w:rsidRDefault="004F0F5A" w:rsidP="004F0F5A">
            <w:pPr>
              <w:jc w:val="right"/>
              <w:rPr>
                <w:color w:val="000000" w:themeColor="text1"/>
                <w:szCs w:val="20"/>
              </w:rPr>
            </w:pPr>
            <w:r w:rsidRPr="00417112">
              <w:rPr>
                <w:color w:val="000000" w:themeColor="text1"/>
                <w:szCs w:val="20"/>
              </w:rPr>
              <w:t> </w:t>
            </w:r>
          </w:p>
        </w:tc>
        <w:tc>
          <w:tcPr>
            <w:tcW w:w="661" w:type="pct"/>
            <w:tcBorders>
              <w:top w:val="single" w:sz="4" w:space="0" w:color="auto"/>
              <w:left w:val="nil"/>
              <w:right w:val="nil"/>
            </w:tcBorders>
            <w:vAlign w:val="center"/>
          </w:tcPr>
          <w:p w14:paraId="09E2E952" w14:textId="3E53A6EB" w:rsidR="004F0F5A" w:rsidRPr="00417112" w:rsidRDefault="004F0F5A" w:rsidP="004F0F5A">
            <w:pPr>
              <w:jc w:val="right"/>
              <w:rPr>
                <w:color w:val="000000" w:themeColor="text1"/>
                <w:szCs w:val="20"/>
              </w:rPr>
            </w:pPr>
            <w:r w:rsidRPr="00417112">
              <w:rPr>
                <w:color w:val="000000" w:themeColor="text1"/>
                <w:szCs w:val="20"/>
              </w:rPr>
              <w:t> </w:t>
            </w:r>
          </w:p>
        </w:tc>
      </w:tr>
      <w:tr w:rsidR="004F0F5A" w:rsidRPr="008756CD" w14:paraId="34D13708" w14:textId="77777777" w:rsidTr="009A2B41">
        <w:trPr>
          <w:trHeight w:val="57"/>
        </w:trPr>
        <w:tc>
          <w:tcPr>
            <w:tcW w:w="3603" w:type="pct"/>
            <w:tcBorders>
              <w:left w:val="nil"/>
              <w:right w:val="nil"/>
            </w:tcBorders>
            <w:vAlign w:val="center"/>
          </w:tcPr>
          <w:p w14:paraId="644AA2B9" w14:textId="4D35A8CA" w:rsidR="00417112" w:rsidRPr="004F0F5A" w:rsidRDefault="004F0F5A" w:rsidP="00417112">
            <w:pPr>
              <w:jc w:val="left"/>
              <w:rPr>
                <w:color w:val="000000" w:themeColor="text1"/>
                <w:szCs w:val="20"/>
              </w:rPr>
            </w:pPr>
            <w:r w:rsidRPr="004F0F5A">
              <w:rPr>
                <w:color w:val="000000" w:themeColor="text1"/>
                <w:szCs w:val="20"/>
              </w:rPr>
              <w:t>Поточна частина (менше ніж 1 рік)</w:t>
            </w:r>
          </w:p>
        </w:tc>
        <w:tc>
          <w:tcPr>
            <w:tcW w:w="736" w:type="pct"/>
            <w:tcBorders>
              <w:left w:val="nil"/>
              <w:right w:val="nil"/>
            </w:tcBorders>
            <w:vAlign w:val="center"/>
          </w:tcPr>
          <w:p w14:paraId="17B3AFD0" w14:textId="0EB3A189" w:rsidR="004F0F5A" w:rsidRPr="00417112" w:rsidRDefault="00417112" w:rsidP="00417112">
            <w:pPr>
              <w:jc w:val="right"/>
              <w:rPr>
                <w:color w:val="000000" w:themeColor="text1"/>
                <w:szCs w:val="20"/>
                <w:lang w:val="ru-RU"/>
              </w:rPr>
            </w:pPr>
            <w:r w:rsidRPr="00417112">
              <w:rPr>
                <w:color w:val="000000" w:themeColor="text1"/>
                <w:szCs w:val="20"/>
                <w:lang w:val="ru-RU"/>
              </w:rPr>
              <w:t>29 573</w:t>
            </w:r>
          </w:p>
        </w:tc>
        <w:tc>
          <w:tcPr>
            <w:tcW w:w="661" w:type="pct"/>
            <w:tcBorders>
              <w:left w:val="nil"/>
              <w:right w:val="nil"/>
            </w:tcBorders>
            <w:vAlign w:val="center"/>
          </w:tcPr>
          <w:p w14:paraId="1E516D0C" w14:textId="2AAFFD59" w:rsidR="004F0F5A" w:rsidRPr="00417112" w:rsidRDefault="00417112" w:rsidP="00417112">
            <w:pPr>
              <w:jc w:val="right"/>
              <w:rPr>
                <w:color w:val="000000" w:themeColor="text1"/>
                <w:szCs w:val="20"/>
                <w:lang w:val="ru-RU"/>
              </w:rPr>
            </w:pPr>
            <w:r w:rsidRPr="00417112">
              <w:rPr>
                <w:color w:val="000000" w:themeColor="text1"/>
                <w:szCs w:val="20"/>
                <w:lang w:val="ru-RU"/>
              </w:rPr>
              <w:t>27 435</w:t>
            </w:r>
          </w:p>
        </w:tc>
      </w:tr>
      <w:tr w:rsidR="004F0F5A" w:rsidRPr="008756CD" w14:paraId="01EBD0D3" w14:textId="77777777" w:rsidTr="009A2B41">
        <w:trPr>
          <w:trHeight w:val="57"/>
        </w:trPr>
        <w:tc>
          <w:tcPr>
            <w:tcW w:w="3603" w:type="pct"/>
            <w:tcBorders>
              <w:left w:val="nil"/>
              <w:right w:val="nil"/>
            </w:tcBorders>
            <w:vAlign w:val="center"/>
          </w:tcPr>
          <w:p w14:paraId="43195C32" w14:textId="3D4EF260" w:rsidR="004F0F5A" w:rsidRPr="004F0F5A" w:rsidRDefault="004F0F5A" w:rsidP="004F0F5A">
            <w:pPr>
              <w:jc w:val="left"/>
              <w:rPr>
                <w:color w:val="000000" w:themeColor="text1"/>
                <w:szCs w:val="20"/>
              </w:rPr>
            </w:pPr>
            <w:r w:rsidRPr="004F0F5A">
              <w:rPr>
                <w:color w:val="000000" w:themeColor="text1"/>
                <w:szCs w:val="20"/>
              </w:rPr>
              <w:t>Від 1 до 5 років</w:t>
            </w:r>
          </w:p>
        </w:tc>
        <w:tc>
          <w:tcPr>
            <w:tcW w:w="736" w:type="pct"/>
            <w:tcBorders>
              <w:left w:val="nil"/>
              <w:right w:val="nil"/>
            </w:tcBorders>
            <w:vAlign w:val="center"/>
          </w:tcPr>
          <w:p w14:paraId="56D20817" w14:textId="0009ACD6" w:rsidR="004F0F5A" w:rsidRPr="00417112" w:rsidRDefault="00AD6665" w:rsidP="004A7ED7">
            <w:pPr>
              <w:jc w:val="right"/>
              <w:rPr>
                <w:color w:val="000000" w:themeColor="text1"/>
                <w:szCs w:val="20"/>
              </w:rPr>
            </w:pPr>
            <w:r w:rsidRPr="00417112">
              <w:rPr>
                <w:color w:val="000000" w:themeColor="text1"/>
                <w:szCs w:val="20"/>
                <w:lang w:val="en-US"/>
              </w:rPr>
              <w:t xml:space="preserve">33 757   </w:t>
            </w:r>
          </w:p>
        </w:tc>
        <w:tc>
          <w:tcPr>
            <w:tcW w:w="661" w:type="pct"/>
            <w:tcBorders>
              <w:left w:val="nil"/>
              <w:right w:val="nil"/>
            </w:tcBorders>
            <w:vAlign w:val="center"/>
          </w:tcPr>
          <w:p w14:paraId="3EF2C13B" w14:textId="37685C49" w:rsidR="004F0F5A" w:rsidRPr="00417112" w:rsidRDefault="004F0F5A" w:rsidP="004F0F5A">
            <w:pPr>
              <w:jc w:val="right"/>
              <w:rPr>
                <w:color w:val="000000" w:themeColor="text1"/>
                <w:szCs w:val="20"/>
              </w:rPr>
            </w:pPr>
            <w:r w:rsidRPr="00417112">
              <w:rPr>
                <w:color w:val="000000" w:themeColor="text1"/>
                <w:szCs w:val="20"/>
              </w:rPr>
              <w:t xml:space="preserve">33 293 </w:t>
            </w:r>
          </w:p>
        </w:tc>
      </w:tr>
      <w:tr w:rsidR="004F0F5A" w:rsidRPr="008756CD" w14:paraId="5B78CACC" w14:textId="77777777" w:rsidTr="00417112">
        <w:trPr>
          <w:trHeight w:val="70"/>
        </w:trPr>
        <w:tc>
          <w:tcPr>
            <w:tcW w:w="3603" w:type="pct"/>
            <w:tcBorders>
              <w:top w:val="single" w:sz="4" w:space="0" w:color="auto"/>
              <w:left w:val="nil"/>
              <w:right w:val="nil"/>
            </w:tcBorders>
            <w:vAlign w:val="center"/>
          </w:tcPr>
          <w:p w14:paraId="7EE6C343" w14:textId="491AC1F9" w:rsidR="00417112" w:rsidRPr="00417112" w:rsidRDefault="004F0F5A" w:rsidP="004F0F5A">
            <w:pPr>
              <w:jc w:val="left"/>
              <w:rPr>
                <w:b/>
                <w:bCs/>
                <w:color w:val="000000" w:themeColor="text1"/>
                <w:szCs w:val="20"/>
              </w:rPr>
            </w:pPr>
            <w:r w:rsidRPr="004F0F5A">
              <w:rPr>
                <w:b/>
                <w:bCs/>
                <w:color w:val="000000" w:themeColor="text1"/>
                <w:szCs w:val="20"/>
              </w:rPr>
              <w:t>Всього мінімальні орендні платежі за договорами оренди</w:t>
            </w:r>
          </w:p>
        </w:tc>
        <w:tc>
          <w:tcPr>
            <w:tcW w:w="736" w:type="pct"/>
            <w:tcBorders>
              <w:top w:val="single" w:sz="4" w:space="0" w:color="auto"/>
              <w:left w:val="nil"/>
              <w:right w:val="nil"/>
            </w:tcBorders>
            <w:vAlign w:val="center"/>
          </w:tcPr>
          <w:p w14:paraId="10AD5618" w14:textId="39002BD4" w:rsidR="004F0F5A" w:rsidRPr="00417112" w:rsidRDefault="00417112" w:rsidP="00417112">
            <w:pPr>
              <w:jc w:val="right"/>
              <w:rPr>
                <w:b/>
                <w:bCs/>
                <w:color w:val="000000" w:themeColor="text1"/>
                <w:szCs w:val="20"/>
                <w:lang w:val="ru-RU"/>
              </w:rPr>
            </w:pPr>
            <w:r>
              <w:rPr>
                <w:b/>
                <w:bCs/>
                <w:color w:val="000000" w:themeColor="text1"/>
                <w:szCs w:val="20"/>
                <w:lang w:val="ru-RU"/>
              </w:rPr>
              <w:t>63 330</w:t>
            </w:r>
          </w:p>
        </w:tc>
        <w:tc>
          <w:tcPr>
            <w:tcW w:w="661" w:type="pct"/>
            <w:tcBorders>
              <w:top w:val="single" w:sz="4" w:space="0" w:color="auto"/>
              <w:left w:val="nil"/>
              <w:right w:val="nil"/>
            </w:tcBorders>
            <w:vAlign w:val="center"/>
          </w:tcPr>
          <w:p w14:paraId="75DDDD1E" w14:textId="39ECB48D" w:rsidR="004F0F5A" w:rsidRPr="00417112" w:rsidRDefault="00417112" w:rsidP="00417112">
            <w:pPr>
              <w:jc w:val="right"/>
              <w:rPr>
                <w:b/>
                <w:color w:val="000000" w:themeColor="text1"/>
                <w:szCs w:val="20"/>
                <w:lang w:val="ru-RU"/>
              </w:rPr>
            </w:pPr>
            <w:r w:rsidRPr="00417112">
              <w:rPr>
                <w:b/>
                <w:color w:val="000000" w:themeColor="text1"/>
                <w:szCs w:val="20"/>
                <w:lang w:val="ru-RU"/>
              </w:rPr>
              <w:t>60 728</w:t>
            </w:r>
          </w:p>
        </w:tc>
      </w:tr>
      <w:tr w:rsidR="004F0F5A" w:rsidRPr="008756CD" w14:paraId="507D37E2" w14:textId="77777777" w:rsidTr="00417112">
        <w:trPr>
          <w:trHeight w:val="80"/>
        </w:trPr>
        <w:tc>
          <w:tcPr>
            <w:tcW w:w="3603" w:type="pct"/>
            <w:tcBorders>
              <w:left w:val="nil"/>
              <w:bottom w:val="single" w:sz="4" w:space="0" w:color="auto"/>
              <w:right w:val="nil"/>
            </w:tcBorders>
            <w:vAlign w:val="center"/>
          </w:tcPr>
          <w:p w14:paraId="4E2DFF11" w14:textId="2A2E9930" w:rsidR="004F0F5A" w:rsidRPr="004F0F5A" w:rsidRDefault="004F0F5A" w:rsidP="004F0F5A">
            <w:pPr>
              <w:jc w:val="left"/>
              <w:rPr>
                <w:color w:val="000000" w:themeColor="text1"/>
                <w:szCs w:val="20"/>
              </w:rPr>
            </w:pPr>
            <w:r w:rsidRPr="004F0F5A">
              <w:rPr>
                <w:b/>
                <w:bCs/>
                <w:color w:val="000000" w:themeColor="text1"/>
                <w:szCs w:val="20"/>
              </w:rPr>
              <w:lastRenderedPageBreak/>
              <w:t> </w:t>
            </w:r>
          </w:p>
        </w:tc>
        <w:tc>
          <w:tcPr>
            <w:tcW w:w="736" w:type="pct"/>
            <w:tcBorders>
              <w:left w:val="nil"/>
              <w:bottom w:val="single" w:sz="4" w:space="0" w:color="auto"/>
              <w:right w:val="nil"/>
            </w:tcBorders>
            <w:vAlign w:val="center"/>
          </w:tcPr>
          <w:p w14:paraId="177C5F37" w14:textId="68154000" w:rsidR="004F0F5A" w:rsidRPr="00417112" w:rsidRDefault="004F0F5A" w:rsidP="004F0F5A">
            <w:pPr>
              <w:jc w:val="right"/>
              <w:rPr>
                <w:color w:val="000000" w:themeColor="text1"/>
                <w:szCs w:val="20"/>
              </w:rPr>
            </w:pPr>
            <w:r w:rsidRPr="00417112">
              <w:rPr>
                <w:color w:val="000000" w:themeColor="text1"/>
                <w:szCs w:val="20"/>
              </w:rPr>
              <w:t> </w:t>
            </w:r>
          </w:p>
        </w:tc>
        <w:tc>
          <w:tcPr>
            <w:tcW w:w="661" w:type="pct"/>
            <w:tcBorders>
              <w:left w:val="nil"/>
              <w:bottom w:val="single" w:sz="4" w:space="0" w:color="auto"/>
              <w:right w:val="nil"/>
            </w:tcBorders>
            <w:vAlign w:val="center"/>
          </w:tcPr>
          <w:p w14:paraId="559F0485" w14:textId="64CC94FB" w:rsidR="004F0F5A" w:rsidRPr="00417112" w:rsidRDefault="004F0F5A" w:rsidP="004F0F5A">
            <w:pPr>
              <w:jc w:val="right"/>
              <w:rPr>
                <w:color w:val="000000" w:themeColor="text1"/>
                <w:szCs w:val="20"/>
              </w:rPr>
            </w:pPr>
            <w:r w:rsidRPr="00417112">
              <w:rPr>
                <w:color w:val="000000" w:themeColor="text1"/>
                <w:szCs w:val="20"/>
              </w:rPr>
              <w:t> </w:t>
            </w:r>
          </w:p>
        </w:tc>
      </w:tr>
      <w:tr w:rsidR="004F0F5A" w:rsidRPr="008756CD" w14:paraId="28CB374A" w14:textId="77777777" w:rsidTr="009A2B41">
        <w:trPr>
          <w:trHeight w:val="57"/>
        </w:trPr>
        <w:tc>
          <w:tcPr>
            <w:tcW w:w="3603" w:type="pct"/>
            <w:tcBorders>
              <w:top w:val="single" w:sz="4" w:space="0" w:color="auto"/>
              <w:left w:val="nil"/>
              <w:right w:val="nil"/>
            </w:tcBorders>
            <w:vAlign w:val="center"/>
          </w:tcPr>
          <w:p w14:paraId="60E1AEEC" w14:textId="58B77D5C" w:rsidR="004F0F5A" w:rsidRPr="004F0F5A" w:rsidRDefault="004F0F5A" w:rsidP="004F0F5A">
            <w:pPr>
              <w:jc w:val="left"/>
              <w:rPr>
                <w:color w:val="000000" w:themeColor="text1"/>
                <w:szCs w:val="20"/>
              </w:rPr>
            </w:pPr>
            <w:r w:rsidRPr="004F0F5A">
              <w:rPr>
                <w:b/>
                <w:bCs/>
                <w:color w:val="000000" w:themeColor="text1"/>
                <w:szCs w:val="20"/>
              </w:rPr>
              <w:t>За вирахуванням майбутньої вартості фінансування</w:t>
            </w:r>
          </w:p>
        </w:tc>
        <w:tc>
          <w:tcPr>
            <w:tcW w:w="736" w:type="pct"/>
            <w:tcBorders>
              <w:top w:val="single" w:sz="4" w:space="0" w:color="auto"/>
              <w:left w:val="nil"/>
              <w:right w:val="nil"/>
            </w:tcBorders>
            <w:vAlign w:val="center"/>
          </w:tcPr>
          <w:p w14:paraId="34461BC7" w14:textId="70AA2564" w:rsidR="004F0F5A" w:rsidRPr="00417112" w:rsidRDefault="00C0743E" w:rsidP="00417112">
            <w:pPr>
              <w:jc w:val="right"/>
              <w:rPr>
                <w:b/>
                <w:bCs/>
                <w:color w:val="000000" w:themeColor="text1"/>
                <w:szCs w:val="20"/>
              </w:rPr>
            </w:pPr>
            <w:r w:rsidRPr="00417112">
              <w:rPr>
                <w:b/>
                <w:bCs/>
                <w:color w:val="000000" w:themeColor="text1"/>
                <w:szCs w:val="20"/>
                <w:lang w:val="en-US"/>
              </w:rPr>
              <w:t xml:space="preserve">(16 599)    </w:t>
            </w:r>
          </w:p>
        </w:tc>
        <w:tc>
          <w:tcPr>
            <w:tcW w:w="661" w:type="pct"/>
            <w:tcBorders>
              <w:top w:val="single" w:sz="4" w:space="0" w:color="auto"/>
              <w:left w:val="nil"/>
              <w:right w:val="nil"/>
            </w:tcBorders>
            <w:vAlign w:val="center"/>
          </w:tcPr>
          <w:p w14:paraId="4D008A6C" w14:textId="01ACCFA7" w:rsidR="004F0F5A" w:rsidRPr="00417112" w:rsidRDefault="00C0743E" w:rsidP="00417112">
            <w:pPr>
              <w:jc w:val="right"/>
              <w:rPr>
                <w:color w:val="000000" w:themeColor="text1"/>
                <w:szCs w:val="20"/>
              </w:rPr>
            </w:pPr>
            <w:r w:rsidRPr="00417112">
              <w:rPr>
                <w:b/>
                <w:bCs/>
                <w:color w:val="000000" w:themeColor="text1"/>
                <w:szCs w:val="20"/>
                <w:lang w:val="en-US"/>
              </w:rPr>
              <w:t>(16 406)</w:t>
            </w:r>
          </w:p>
        </w:tc>
      </w:tr>
      <w:tr w:rsidR="004F0F5A" w:rsidRPr="008756CD" w14:paraId="1757F070" w14:textId="77777777" w:rsidTr="00417112">
        <w:trPr>
          <w:trHeight w:val="112"/>
        </w:trPr>
        <w:tc>
          <w:tcPr>
            <w:tcW w:w="3603" w:type="pct"/>
            <w:tcBorders>
              <w:left w:val="nil"/>
              <w:right w:val="nil"/>
            </w:tcBorders>
            <w:vAlign w:val="center"/>
          </w:tcPr>
          <w:p w14:paraId="10D848E5" w14:textId="77777777" w:rsidR="004F0F5A" w:rsidRPr="004F0F5A" w:rsidRDefault="004F0F5A" w:rsidP="004F0F5A">
            <w:pPr>
              <w:jc w:val="left"/>
              <w:rPr>
                <w:color w:val="000000" w:themeColor="text1"/>
                <w:szCs w:val="20"/>
              </w:rPr>
            </w:pPr>
          </w:p>
        </w:tc>
        <w:tc>
          <w:tcPr>
            <w:tcW w:w="736" w:type="pct"/>
            <w:tcBorders>
              <w:left w:val="nil"/>
              <w:right w:val="nil"/>
            </w:tcBorders>
          </w:tcPr>
          <w:p w14:paraId="3DB63FD2" w14:textId="77777777" w:rsidR="004F0F5A" w:rsidRPr="008756CD" w:rsidRDefault="004F0F5A" w:rsidP="004F0F5A">
            <w:pPr>
              <w:jc w:val="right"/>
              <w:rPr>
                <w:color w:val="000000" w:themeColor="text1"/>
                <w:szCs w:val="20"/>
                <w:highlight w:val="yellow"/>
              </w:rPr>
            </w:pPr>
          </w:p>
        </w:tc>
        <w:tc>
          <w:tcPr>
            <w:tcW w:w="661" w:type="pct"/>
            <w:tcBorders>
              <w:left w:val="nil"/>
              <w:right w:val="nil"/>
            </w:tcBorders>
            <w:vAlign w:val="center"/>
          </w:tcPr>
          <w:p w14:paraId="54713DAD" w14:textId="00A464A8" w:rsidR="004F0F5A" w:rsidRPr="00C27B57" w:rsidRDefault="004F0F5A" w:rsidP="004F0F5A">
            <w:pPr>
              <w:jc w:val="right"/>
              <w:rPr>
                <w:color w:val="000000" w:themeColor="text1"/>
                <w:szCs w:val="20"/>
                <w:highlight w:val="yellow"/>
              </w:rPr>
            </w:pPr>
          </w:p>
        </w:tc>
      </w:tr>
      <w:tr w:rsidR="004F0F5A" w:rsidRPr="008756CD" w14:paraId="0405B2DB" w14:textId="77777777" w:rsidTr="009A2B41">
        <w:trPr>
          <w:trHeight w:val="57"/>
        </w:trPr>
        <w:tc>
          <w:tcPr>
            <w:tcW w:w="3603" w:type="pct"/>
            <w:tcBorders>
              <w:left w:val="nil"/>
              <w:bottom w:val="single" w:sz="4" w:space="0" w:color="auto"/>
              <w:right w:val="nil"/>
            </w:tcBorders>
            <w:vAlign w:val="center"/>
          </w:tcPr>
          <w:p w14:paraId="3BD5C7DA" w14:textId="125111BC" w:rsidR="004F0F5A" w:rsidRPr="004F0F5A" w:rsidRDefault="004F0F5A" w:rsidP="004F0F5A">
            <w:pPr>
              <w:jc w:val="left"/>
              <w:rPr>
                <w:b/>
                <w:color w:val="000000" w:themeColor="text1"/>
                <w:szCs w:val="20"/>
              </w:rPr>
            </w:pPr>
            <w:r w:rsidRPr="004F0F5A">
              <w:rPr>
                <w:b/>
                <w:color w:val="000000" w:themeColor="text1"/>
                <w:szCs w:val="20"/>
              </w:rPr>
              <w:t xml:space="preserve">Приведена вартість мінімальних орендних платежів, включаючи: </w:t>
            </w:r>
          </w:p>
        </w:tc>
        <w:tc>
          <w:tcPr>
            <w:tcW w:w="736" w:type="pct"/>
            <w:tcBorders>
              <w:left w:val="nil"/>
              <w:bottom w:val="single" w:sz="4" w:space="0" w:color="auto"/>
              <w:right w:val="nil"/>
            </w:tcBorders>
          </w:tcPr>
          <w:p w14:paraId="112E41E7" w14:textId="77777777" w:rsidR="004F0F5A" w:rsidRPr="004F0F5A" w:rsidRDefault="004F0F5A" w:rsidP="004F0F5A">
            <w:pPr>
              <w:jc w:val="right"/>
              <w:rPr>
                <w:color w:val="000000" w:themeColor="text1"/>
                <w:szCs w:val="20"/>
              </w:rPr>
            </w:pPr>
          </w:p>
        </w:tc>
        <w:tc>
          <w:tcPr>
            <w:tcW w:w="661" w:type="pct"/>
            <w:tcBorders>
              <w:left w:val="nil"/>
              <w:bottom w:val="single" w:sz="4" w:space="0" w:color="auto"/>
              <w:right w:val="nil"/>
            </w:tcBorders>
            <w:vAlign w:val="center"/>
          </w:tcPr>
          <w:p w14:paraId="1360CF84" w14:textId="13BB3D60" w:rsidR="004F0F5A" w:rsidRPr="00C27B57" w:rsidRDefault="004F0F5A" w:rsidP="004F0F5A">
            <w:pPr>
              <w:jc w:val="right"/>
              <w:rPr>
                <w:color w:val="000000" w:themeColor="text1"/>
                <w:szCs w:val="20"/>
                <w:highlight w:val="yellow"/>
              </w:rPr>
            </w:pPr>
          </w:p>
        </w:tc>
      </w:tr>
      <w:tr w:rsidR="004F0F5A" w:rsidRPr="008756CD" w14:paraId="289D84A4" w14:textId="77777777" w:rsidTr="009A2B41">
        <w:trPr>
          <w:trHeight w:val="57"/>
        </w:trPr>
        <w:tc>
          <w:tcPr>
            <w:tcW w:w="3603" w:type="pct"/>
            <w:tcBorders>
              <w:top w:val="single" w:sz="4" w:space="0" w:color="auto"/>
              <w:left w:val="nil"/>
              <w:right w:val="nil"/>
            </w:tcBorders>
            <w:vAlign w:val="center"/>
          </w:tcPr>
          <w:p w14:paraId="0AE9D0B0" w14:textId="4B220E92" w:rsidR="004F0F5A" w:rsidRPr="004F0F5A" w:rsidRDefault="004F0F5A" w:rsidP="004F0F5A">
            <w:pPr>
              <w:jc w:val="left"/>
              <w:rPr>
                <w:color w:val="000000" w:themeColor="text1"/>
                <w:szCs w:val="20"/>
              </w:rPr>
            </w:pPr>
            <w:r w:rsidRPr="004F0F5A">
              <w:rPr>
                <w:color w:val="000000" w:themeColor="text1"/>
                <w:szCs w:val="20"/>
              </w:rPr>
              <w:t>Поточна частина (менше ніж 1 рік)</w:t>
            </w:r>
          </w:p>
        </w:tc>
        <w:tc>
          <w:tcPr>
            <w:tcW w:w="736" w:type="pct"/>
            <w:tcBorders>
              <w:top w:val="single" w:sz="4" w:space="0" w:color="auto"/>
              <w:left w:val="nil"/>
              <w:right w:val="nil"/>
            </w:tcBorders>
            <w:vAlign w:val="center"/>
          </w:tcPr>
          <w:p w14:paraId="2369CCD3" w14:textId="7BFBC6E8" w:rsidR="004F0F5A" w:rsidRPr="00417112" w:rsidRDefault="004F0F5A" w:rsidP="004F0F5A">
            <w:pPr>
              <w:jc w:val="right"/>
              <w:rPr>
                <w:color w:val="000000" w:themeColor="text1"/>
                <w:szCs w:val="20"/>
              </w:rPr>
            </w:pPr>
            <w:r w:rsidRPr="00417112">
              <w:rPr>
                <w:color w:val="000000" w:themeColor="text1"/>
                <w:szCs w:val="20"/>
              </w:rPr>
              <w:t xml:space="preserve">25 435 </w:t>
            </w:r>
          </w:p>
        </w:tc>
        <w:tc>
          <w:tcPr>
            <w:tcW w:w="661" w:type="pct"/>
            <w:tcBorders>
              <w:top w:val="single" w:sz="4" w:space="0" w:color="auto"/>
              <w:left w:val="nil"/>
              <w:right w:val="nil"/>
            </w:tcBorders>
            <w:vAlign w:val="center"/>
          </w:tcPr>
          <w:p w14:paraId="46F7B9BE" w14:textId="36A2ECF9" w:rsidR="004F0F5A" w:rsidRPr="00417112" w:rsidRDefault="004F0F5A" w:rsidP="004F0F5A">
            <w:pPr>
              <w:jc w:val="right"/>
              <w:rPr>
                <w:color w:val="000000" w:themeColor="text1"/>
                <w:szCs w:val="20"/>
              </w:rPr>
            </w:pPr>
            <w:r w:rsidRPr="00417112">
              <w:rPr>
                <w:color w:val="000000" w:themeColor="text1"/>
                <w:szCs w:val="20"/>
              </w:rPr>
              <w:t xml:space="preserve">21 166 </w:t>
            </w:r>
          </w:p>
        </w:tc>
      </w:tr>
      <w:tr w:rsidR="004F0F5A" w:rsidRPr="008756CD" w14:paraId="46BB44E6" w14:textId="77777777" w:rsidTr="009A2B41">
        <w:trPr>
          <w:trHeight w:val="57"/>
        </w:trPr>
        <w:tc>
          <w:tcPr>
            <w:tcW w:w="3603" w:type="pct"/>
            <w:tcBorders>
              <w:left w:val="nil"/>
              <w:right w:val="nil"/>
            </w:tcBorders>
            <w:vAlign w:val="center"/>
          </w:tcPr>
          <w:p w14:paraId="7D248436" w14:textId="7495D67F" w:rsidR="004F0F5A" w:rsidRPr="004F0F5A" w:rsidRDefault="004F0F5A" w:rsidP="004F0F5A">
            <w:pPr>
              <w:jc w:val="left"/>
              <w:rPr>
                <w:color w:val="000000" w:themeColor="text1"/>
                <w:szCs w:val="20"/>
              </w:rPr>
            </w:pPr>
            <w:r w:rsidRPr="004F0F5A">
              <w:rPr>
                <w:color w:val="000000" w:themeColor="text1"/>
                <w:szCs w:val="20"/>
              </w:rPr>
              <w:t>Від 1 до 5 років</w:t>
            </w:r>
          </w:p>
        </w:tc>
        <w:tc>
          <w:tcPr>
            <w:tcW w:w="736" w:type="pct"/>
            <w:tcBorders>
              <w:left w:val="nil"/>
              <w:right w:val="nil"/>
            </w:tcBorders>
            <w:vAlign w:val="center"/>
          </w:tcPr>
          <w:p w14:paraId="2C2FD7B9" w14:textId="73557603" w:rsidR="004F0F5A" w:rsidRPr="00417112" w:rsidRDefault="004F0F5A" w:rsidP="004F0F5A">
            <w:pPr>
              <w:jc w:val="right"/>
              <w:rPr>
                <w:color w:val="000000" w:themeColor="text1"/>
                <w:szCs w:val="20"/>
              </w:rPr>
            </w:pPr>
            <w:r w:rsidRPr="00417112">
              <w:rPr>
                <w:color w:val="000000" w:themeColor="text1"/>
                <w:szCs w:val="20"/>
              </w:rPr>
              <w:t xml:space="preserve">21 296 </w:t>
            </w:r>
          </w:p>
        </w:tc>
        <w:tc>
          <w:tcPr>
            <w:tcW w:w="661" w:type="pct"/>
            <w:tcBorders>
              <w:left w:val="nil"/>
              <w:right w:val="nil"/>
            </w:tcBorders>
            <w:vAlign w:val="center"/>
          </w:tcPr>
          <w:p w14:paraId="7CF10E37" w14:textId="2CE36F41" w:rsidR="004F0F5A" w:rsidRPr="00417112" w:rsidRDefault="004F0F5A" w:rsidP="004F0F5A">
            <w:pPr>
              <w:jc w:val="right"/>
              <w:rPr>
                <w:color w:val="000000" w:themeColor="text1"/>
                <w:szCs w:val="20"/>
              </w:rPr>
            </w:pPr>
            <w:r w:rsidRPr="00417112">
              <w:rPr>
                <w:color w:val="000000" w:themeColor="text1"/>
                <w:szCs w:val="20"/>
              </w:rPr>
              <w:t xml:space="preserve">23 156 </w:t>
            </w:r>
          </w:p>
        </w:tc>
      </w:tr>
      <w:tr w:rsidR="004F0F5A" w:rsidRPr="008756CD" w14:paraId="3A6A4F40" w14:textId="77777777" w:rsidTr="009A2B41">
        <w:trPr>
          <w:trHeight w:val="57"/>
        </w:trPr>
        <w:tc>
          <w:tcPr>
            <w:tcW w:w="3603" w:type="pct"/>
            <w:tcBorders>
              <w:top w:val="single" w:sz="4" w:space="0" w:color="auto"/>
              <w:left w:val="nil"/>
              <w:right w:val="nil"/>
            </w:tcBorders>
            <w:vAlign w:val="center"/>
          </w:tcPr>
          <w:p w14:paraId="02013312" w14:textId="062BB06A" w:rsidR="004F0F5A" w:rsidRPr="004F0F5A" w:rsidRDefault="004F0F5A" w:rsidP="004F0F5A">
            <w:pPr>
              <w:jc w:val="left"/>
              <w:rPr>
                <w:color w:val="000000" w:themeColor="text1"/>
                <w:szCs w:val="20"/>
              </w:rPr>
            </w:pPr>
            <w:r w:rsidRPr="004F0F5A">
              <w:rPr>
                <w:b/>
                <w:bCs/>
                <w:color w:val="000000" w:themeColor="text1"/>
                <w:szCs w:val="20"/>
              </w:rPr>
              <w:t>Всього приведена вартість мінімальних орендних платежів</w:t>
            </w:r>
          </w:p>
        </w:tc>
        <w:tc>
          <w:tcPr>
            <w:tcW w:w="736" w:type="pct"/>
            <w:tcBorders>
              <w:top w:val="single" w:sz="4" w:space="0" w:color="auto"/>
              <w:left w:val="nil"/>
              <w:right w:val="nil"/>
            </w:tcBorders>
            <w:vAlign w:val="center"/>
          </w:tcPr>
          <w:p w14:paraId="6753DD49" w14:textId="456F6E74" w:rsidR="004F0F5A" w:rsidRPr="00417112" w:rsidRDefault="004F0F5A" w:rsidP="004F0F5A">
            <w:pPr>
              <w:jc w:val="right"/>
              <w:rPr>
                <w:b/>
                <w:bCs/>
                <w:color w:val="000000" w:themeColor="text1"/>
                <w:szCs w:val="20"/>
              </w:rPr>
            </w:pPr>
            <w:r w:rsidRPr="00417112">
              <w:rPr>
                <w:b/>
                <w:bCs/>
                <w:color w:val="000000" w:themeColor="text1"/>
                <w:szCs w:val="20"/>
              </w:rPr>
              <w:t xml:space="preserve">46 731 </w:t>
            </w:r>
          </w:p>
        </w:tc>
        <w:tc>
          <w:tcPr>
            <w:tcW w:w="661" w:type="pct"/>
            <w:tcBorders>
              <w:top w:val="single" w:sz="4" w:space="0" w:color="auto"/>
              <w:left w:val="nil"/>
              <w:right w:val="nil"/>
            </w:tcBorders>
            <w:vAlign w:val="center"/>
          </w:tcPr>
          <w:p w14:paraId="0310E693" w14:textId="42739625" w:rsidR="004F0F5A" w:rsidRPr="00417112" w:rsidRDefault="004F0F5A" w:rsidP="004F0F5A">
            <w:pPr>
              <w:jc w:val="right"/>
              <w:rPr>
                <w:color w:val="000000" w:themeColor="text1"/>
                <w:szCs w:val="20"/>
              </w:rPr>
            </w:pPr>
            <w:r w:rsidRPr="00417112">
              <w:rPr>
                <w:b/>
                <w:bCs/>
                <w:color w:val="000000" w:themeColor="text1"/>
                <w:szCs w:val="20"/>
              </w:rPr>
              <w:t xml:space="preserve">44 322 </w:t>
            </w:r>
          </w:p>
        </w:tc>
      </w:tr>
    </w:tbl>
    <w:p w14:paraId="15594501" w14:textId="684C89DB" w:rsidR="00C45797" w:rsidRPr="008756CD" w:rsidRDefault="00C45797" w:rsidP="00467D04">
      <w:pPr>
        <w:spacing w:before="120"/>
        <w:rPr>
          <w:b/>
          <w:color w:val="000000" w:themeColor="text1"/>
          <w:szCs w:val="20"/>
          <w:highlight w:val="yellow"/>
        </w:rPr>
      </w:pPr>
    </w:p>
    <w:tbl>
      <w:tblPr>
        <w:tblW w:w="5007" w:type="pct"/>
        <w:tblLook w:val="00A0" w:firstRow="1" w:lastRow="0" w:firstColumn="1" w:lastColumn="0" w:noHBand="0" w:noVBand="0"/>
      </w:tblPr>
      <w:tblGrid>
        <w:gridCol w:w="6946"/>
        <w:gridCol w:w="2704"/>
      </w:tblGrid>
      <w:tr w:rsidR="001576BB" w:rsidRPr="008756CD" w14:paraId="6F8B28CF" w14:textId="77777777" w:rsidTr="00FF2232">
        <w:trPr>
          <w:trHeight w:val="424"/>
        </w:trPr>
        <w:tc>
          <w:tcPr>
            <w:tcW w:w="3599" w:type="pct"/>
            <w:tcBorders>
              <w:left w:val="nil"/>
              <w:bottom w:val="single" w:sz="4" w:space="0" w:color="auto"/>
              <w:right w:val="nil"/>
            </w:tcBorders>
            <w:vAlign w:val="center"/>
          </w:tcPr>
          <w:p w14:paraId="7F7FCD34" w14:textId="2B75F69C" w:rsidR="0054726D" w:rsidRPr="00EA5008" w:rsidRDefault="001576BB" w:rsidP="0054726D">
            <w:pPr>
              <w:jc w:val="left"/>
              <w:rPr>
                <w:color w:val="000000" w:themeColor="text1"/>
                <w:szCs w:val="20"/>
              </w:rPr>
            </w:pPr>
            <w:r w:rsidRPr="00EA5008">
              <w:rPr>
                <w:b/>
                <w:bCs/>
                <w:color w:val="000000" w:themeColor="text1"/>
                <w:szCs w:val="20"/>
              </w:rPr>
              <w:t>22</w:t>
            </w:r>
            <w:r w:rsidR="0054726D" w:rsidRPr="00EA5008">
              <w:rPr>
                <w:b/>
                <w:bCs/>
                <w:color w:val="000000" w:themeColor="text1"/>
                <w:szCs w:val="20"/>
              </w:rPr>
              <w:t>.4 Загальне вибуття грошових коштів по договорам оренди:</w:t>
            </w:r>
          </w:p>
        </w:tc>
        <w:tc>
          <w:tcPr>
            <w:tcW w:w="1401" w:type="pct"/>
            <w:tcBorders>
              <w:left w:val="nil"/>
              <w:bottom w:val="single" w:sz="4" w:space="0" w:color="auto"/>
              <w:right w:val="nil"/>
            </w:tcBorders>
            <w:vAlign w:val="center"/>
          </w:tcPr>
          <w:p w14:paraId="64F03E19" w14:textId="57E2E33C" w:rsidR="0054726D" w:rsidRPr="00EA5008" w:rsidRDefault="0054726D" w:rsidP="001919F4">
            <w:pPr>
              <w:jc w:val="right"/>
              <w:rPr>
                <w:color w:val="000000" w:themeColor="text1"/>
                <w:szCs w:val="20"/>
              </w:rPr>
            </w:pPr>
            <w:r w:rsidRPr="00EA5008">
              <w:rPr>
                <w:b/>
                <w:bCs/>
                <w:color w:val="000000" w:themeColor="text1"/>
                <w:szCs w:val="20"/>
              </w:rPr>
              <w:t>31.12.20</w:t>
            </w:r>
            <w:r w:rsidR="001919F4" w:rsidRPr="00EA5008">
              <w:rPr>
                <w:b/>
                <w:bCs/>
                <w:color w:val="000000" w:themeColor="text1"/>
                <w:szCs w:val="20"/>
              </w:rPr>
              <w:t>20</w:t>
            </w:r>
          </w:p>
        </w:tc>
      </w:tr>
      <w:tr w:rsidR="001576BB" w:rsidRPr="008756CD" w14:paraId="73F050B7" w14:textId="77777777" w:rsidTr="00FF2232">
        <w:trPr>
          <w:trHeight w:val="57"/>
        </w:trPr>
        <w:tc>
          <w:tcPr>
            <w:tcW w:w="3599" w:type="pct"/>
            <w:tcBorders>
              <w:top w:val="single" w:sz="4" w:space="0" w:color="auto"/>
              <w:left w:val="nil"/>
              <w:right w:val="nil"/>
            </w:tcBorders>
            <w:vAlign w:val="center"/>
          </w:tcPr>
          <w:p w14:paraId="48A98456" w14:textId="7934F7FD" w:rsidR="001576BB" w:rsidRPr="00EA5008" w:rsidRDefault="001576BB" w:rsidP="001576BB">
            <w:pPr>
              <w:jc w:val="left"/>
              <w:rPr>
                <w:color w:val="000000" w:themeColor="text1"/>
                <w:szCs w:val="20"/>
              </w:rPr>
            </w:pPr>
            <w:r w:rsidRPr="00EA5008">
              <w:rPr>
                <w:color w:val="000000" w:themeColor="text1"/>
                <w:szCs w:val="20"/>
              </w:rPr>
              <w:t>Земельні ділянки</w:t>
            </w:r>
          </w:p>
        </w:tc>
        <w:tc>
          <w:tcPr>
            <w:tcW w:w="1401" w:type="pct"/>
            <w:tcBorders>
              <w:top w:val="single" w:sz="4" w:space="0" w:color="auto"/>
              <w:left w:val="nil"/>
              <w:right w:val="nil"/>
            </w:tcBorders>
            <w:vAlign w:val="center"/>
          </w:tcPr>
          <w:p w14:paraId="2A46A9E4" w14:textId="5115F8DC" w:rsidR="001576BB" w:rsidRPr="00EA5008" w:rsidRDefault="001576BB" w:rsidP="001919F4">
            <w:pPr>
              <w:jc w:val="right"/>
              <w:rPr>
                <w:color w:val="000000" w:themeColor="text1"/>
                <w:szCs w:val="20"/>
              </w:rPr>
            </w:pPr>
            <w:r w:rsidRPr="00EA5008">
              <w:rPr>
                <w:color w:val="000000" w:themeColor="text1"/>
                <w:szCs w:val="20"/>
              </w:rPr>
              <w:t xml:space="preserve">2 </w:t>
            </w:r>
            <w:r w:rsidR="001919F4" w:rsidRPr="00EA5008">
              <w:rPr>
                <w:color w:val="000000" w:themeColor="text1"/>
                <w:szCs w:val="20"/>
              </w:rPr>
              <w:t>186</w:t>
            </w:r>
          </w:p>
        </w:tc>
      </w:tr>
      <w:tr w:rsidR="001576BB" w:rsidRPr="008756CD" w14:paraId="7B966630" w14:textId="77777777" w:rsidTr="00FF2232">
        <w:trPr>
          <w:trHeight w:val="57"/>
        </w:trPr>
        <w:tc>
          <w:tcPr>
            <w:tcW w:w="3599" w:type="pct"/>
            <w:tcBorders>
              <w:left w:val="nil"/>
              <w:right w:val="nil"/>
            </w:tcBorders>
            <w:vAlign w:val="center"/>
          </w:tcPr>
          <w:p w14:paraId="3C033D32" w14:textId="001A9262" w:rsidR="001576BB" w:rsidRPr="00EA5008" w:rsidRDefault="001576BB" w:rsidP="001576BB">
            <w:pPr>
              <w:jc w:val="left"/>
              <w:rPr>
                <w:color w:val="000000" w:themeColor="text1"/>
                <w:szCs w:val="20"/>
              </w:rPr>
            </w:pPr>
            <w:r w:rsidRPr="00EA5008">
              <w:rPr>
                <w:color w:val="000000" w:themeColor="text1"/>
                <w:szCs w:val="20"/>
              </w:rPr>
              <w:t>Будинки та споруди</w:t>
            </w:r>
          </w:p>
        </w:tc>
        <w:tc>
          <w:tcPr>
            <w:tcW w:w="1401" w:type="pct"/>
            <w:tcBorders>
              <w:left w:val="nil"/>
              <w:right w:val="nil"/>
            </w:tcBorders>
            <w:vAlign w:val="center"/>
          </w:tcPr>
          <w:p w14:paraId="634F7DB5" w14:textId="37536E8E" w:rsidR="001576BB" w:rsidRPr="00EA5008" w:rsidRDefault="001576BB" w:rsidP="001919F4">
            <w:pPr>
              <w:jc w:val="right"/>
              <w:rPr>
                <w:color w:val="000000" w:themeColor="text1"/>
                <w:szCs w:val="20"/>
              </w:rPr>
            </w:pPr>
            <w:r w:rsidRPr="00EA5008">
              <w:rPr>
                <w:color w:val="000000" w:themeColor="text1"/>
                <w:szCs w:val="20"/>
              </w:rPr>
              <w:t>9 4</w:t>
            </w:r>
            <w:r w:rsidR="001919F4" w:rsidRPr="00EA5008">
              <w:rPr>
                <w:color w:val="000000" w:themeColor="text1"/>
                <w:szCs w:val="20"/>
              </w:rPr>
              <w:t>21</w:t>
            </w:r>
          </w:p>
        </w:tc>
      </w:tr>
      <w:tr w:rsidR="001576BB" w:rsidRPr="008756CD" w14:paraId="3E1C704A" w14:textId="77777777" w:rsidTr="00FF2232">
        <w:trPr>
          <w:trHeight w:val="255"/>
        </w:trPr>
        <w:tc>
          <w:tcPr>
            <w:tcW w:w="3599" w:type="pct"/>
            <w:tcBorders>
              <w:top w:val="nil"/>
              <w:left w:val="nil"/>
              <w:right w:val="nil"/>
            </w:tcBorders>
            <w:vAlign w:val="center"/>
          </w:tcPr>
          <w:p w14:paraId="655561DB" w14:textId="278910DA" w:rsidR="001576BB" w:rsidRPr="00EA5008" w:rsidRDefault="001576BB" w:rsidP="001576BB">
            <w:pPr>
              <w:jc w:val="left"/>
              <w:rPr>
                <w:color w:val="000000" w:themeColor="text1"/>
                <w:szCs w:val="20"/>
              </w:rPr>
            </w:pPr>
            <w:r w:rsidRPr="00EA5008">
              <w:rPr>
                <w:color w:val="000000" w:themeColor="text1"/>
                <w:szCs w:val="20"/>
              </w:rPr>
              <w:t>Транспортні засоби</w:t>
            </w:r>
          </w:p>
        </w:tc>
        <w:tc>
          <w:tcPr>
            <w:tcW w:w="1401" w:type="pct"/>
            <w:tcBorders>
              <w:top w:val="nil"/>
              <w:left w:val="nil"/>
              <w:right w:val="nil"/>
            </w:tcBorders>
            <w:vAlign w:val="center"/>
          </w:tcPr>
          <w:p w14:paraId="1798059F" w14:textId="73B7D33F" w:rsidR="001576BB" w:rsidRPr="00EA5008" w:rsidRDefault="001919F4" w:rsidP="001576BB">
            <w:pPr>
              <w:jc w:val="right"/>
              <w:rPr>
                <w:color w:val="000000" w:themeColor="text1"/>
                <w:szCs w:val="20"/>
              </w:rPr>
            </w:pPr>
            <w:r w:rsidRPr="00EA5008">
              <w:rPr>
                <w:color w:val="000000" w:themeColor="text1"/>
                <w:szCs w:val="20"/>
              </w:rPr>
              <w:t>9 746</w:t>
            </w:r>
          </w:p>
        </w:tc>
      </w:tr>
      <w:tr w:rsidR="001576BB" w:rsidRPr="008756CD" w14:paraId="6AA22DE1" w14:textId="77777777" w:rsidTr="00FF2232">
        <w:trPr>
          <w:trHeight w:val="255"/>
        </w:trPr>
        <w:tc>
          <w:tcPr>
            <w:tcW w:w="3599" w:type="pct"/>
            <w:tcBorders>
              <w:top w:val="nil"/>
              <w:left w:val="nil"/>
              <w:bottom w:val="single" w:sz="4" w:space="0" w:color="auto"/>
              <w:right w:val="nil"/>
            </w:tcBorders>
            <w:vAlign w:val="center"/>
          </w:tcPr>
          <w:p w14:paraId="640CA451" w14:textId="6504F38C" w:rsidR="001576BB" w:rsidRPr="00EA5008" w:rsidRDefault="001576BB" w:rsidP="001576BB">
            <w:pPr>
              <w:jc w:val="left"/>
              <w:rPr>
                <w:color w:val="000000" w:themeColor="text1"/>
                <w:szCs w:val="20"/>
              </w:rPr>
            </w:pPr>
            <w:r w:rsidRPr="00EA5008">
              <w:rPr>
                <w:color w:val="000000" w:themeColor="text1"/>
                <w:szCs w:val="20"/>
              </w:rPr>
              <w:t xml:space="preserve">Машини та обладнання </w:t>
            </w:r>
          </w:p>
        </w:tc>
        <w:tc>
          <w:tcPr>
            <w:tcW w:w="1401" w:type="pct"/>
            <w:tcBorders>
              <w:top w:val="nil"/>
              <w:left w:val="nil"/>
              <w:bottom w:val="single" w:sz="4" w:space="0" w:color="auto"/>
              <w:right w:val="nil"/>
            </w:tcBorders>
            <w:vAlign w:val="center"/>
          </w:tcPr>
          <w:p w14:paraId="5408A4AC" w14:textId="093D8093" w:rsidR="001576BB" w:rsidRPr="00EA5008" w:rsidRDefault="001919F4" w:rsidP="00FD388A">
            <w:pPr>
              <w:jc w:val="right"/>
              <w:rPr>
                <w:color w:val="000000" w:themeColor="text1"/>
                <w:szCs w:val="20"/>
              </w:rPr>
            </w:pPr>
            <w:r w:rsidRPr="00EA5008">
              <w:rPr>
                <w:color w:val="000000" w:themeColor="text1"/>
                <w:szCs w:val="20"/>
              </w:rPr>
              <w:t>8 867</w:t>
            </w:r>
          </w:p>
        </w:tc>
      </w:tr>
      <w:tr w:rsidR="001576BB" w:rsidRPr="008756CD" w14:paraId="0CFF27DD" w14:textId="77777777" w:rsidTr="00FF2232">
        <w:trPr>
          <w:trHeight w:val="255"/>
        </w:trPr>
        <w:tc>
          <w:tcPr>
            <w:tcW w:w="3599" w:type="pct"/>
            <w:tcBorders>
              <w:top w:val="single" w:sz="4" w:space="0" w:color="auto"/>
              <w:left w:val="nil"/>
              <w:right w:val="nil"/>
            </w:tcBorders>
            <w:vAlign w:val="center"/>
          </w:tcPr>
          <w:p w14:paraId="6AC6F0F2" w14:textId="77777777" w:rsidR="001576BB" w:rsidRPr="00EA5008" w:rsidRDefault="001576BB" w:rsidP="001576BB">
            <w:pPr>
              <w:jc w:val="left"/>
              <w:rPr>
                <w:color w:val="000000" w:themeColor="text1"/>
                <w:szCs w:val="20"/>
              </w:rPr>
            </w:pPr>
            <w:r w:rsidRPr="00EA5008">
              <w:rPr>
                <w:b/>
                <w:bCs/>
                <w:color w:val="000000" w:themeColor="text1"/>
                <w:szCs w:val="20"/>
              </w:rPr>
              <w:t>Разом</w:t>
            </w:r>
          </w:p>
        </w:tc>
        <w:tc>
          <w:tcPr>
            <w:tcW w:w="1401" w:type="pct"/>
            <w:tcBorders>
              <w:top w:val="single" w:sz="4" w:space="0" w:color="auto"/>
              <w:left w:val="nil"/>
              <w:right w:val="nil"/>
            </w:tcBorders>
            <w:vAlign w:val="center"/>
          </w:tcPr>
          <w:p w14:paraId="6D165671" w14:textId="23388BB7" w:rsidR="001576BB" w:rsidRPr="00EA5008" w:rsidRDefault="00FD388A" w:rsidP="004A7ED7">
            <w:pPr>
              <w:jc w:val="right"/>
              <w:rPr>
                <w:color w:val="000000" w:themeColor="text1"/>
                <w:szCs w:val="20"/>
              </w:rPr>
            </w:pPr>
            <w:r w:rsidRPr="00EA5008">
              <w:rPr>
                <w:b/>
                <w:bCs/>
                <w:color w:val="000000" w:themeColor="text1"/>
                <w:szCs w:val="20"/>
              </w:rPr>
              <w:t xml:space="preserve">              </w:t>
            </w:r>
            <w:r w:rsidR="001576BB" w:rsidRPr="00EA5008">
              <w:rPr>
                <w:b/>
                <w:bCs/>
                <w:color w:val="000000" w:themeColor="text1"/>
                <w:szCs w:val="20"/>
              </w:rPr>
              <w:t xml:space="preserve"> </w:t>
            </w:r>
            <w:r w:rsidR="00FF2232">
              <w:rPr>
                <w:b/>
                <w:bCs/>
                <w:color w:val="000000" w:themeColor="text1"/>
                <w:szCs w:val="20"/>
              </w:rPr>
              <w:t xml:space="preserve">                  </w:t>
            </w:r>
            <w:r w:rsidR="001919F4" w:rsidRPr="00EA5008">
              <w:rPr>
                <w:b/>
                <w:bCs/>
                <w:color w:val="000000" w:themeColor="text1"/>
                <w:szCs w:val="20"/>
              </w:rPr>
              <w:t>30 220</w:t>
            </w:r>
          </w:p>
        </w:tc>
      </w:tr>
    </w:tbl>
    <w:p w14:paraId="1A56E73D" w14:textId="67AC2B13" w:rsidR="00C45797" w:rsidRPr="00AB37CE" w:rsidRDefault="00746B32" w:rsidP="00746B32">
      <w:pPr>
        <w:spacing w:before="120" w:after="120"/>
        <w:rPr>
          <w:color w:val="000000" w:themeColor="text1"/>
        </w:rPr>
      </w:pPr>
      <w:r w:rsidRPr="00EA5008">
        <w:rPr>
          <w:color w:val="000000" w:themeColor="text1"/>
        </w:rPr>
        <w:t>З</w:t>
      </w:r>
      <w:r w:rsidR="00C625FF" w:rsidRPr="00EA5008">
        <w:rPr>
          <w:color w:val="000000" w:themeColor="text1"/>
        </w:rPr>
        <w:t>а рік, що закінчився 31.12.</w:t>
      </w:r>
      <w:r w:rsidR="00C625FF" w:rsidRPr="00AB37CE">
        <w:rPr>
          <w:color w:val="000000" w:themeColor="text1"/>
        </w:rPr>
        <w:t>20</w:t>
      </w:r>
      <w:r w:rsidR="00EA5008" w:rsidRPr="00AB37CE">
        <w:rPr>
          <w:color w:val="000000" w:themeColor="text1"/>
        </w:rPr>
        <w:t>20</w:t>
      </w:r>
      <w:r w:rsidR="00C625FF" w:rsidRPr="00AB37CE">
        <w:rPr>
          <w:color w:val="000000" w:themeColor="text1"/>
        </w:rPr>
        <w:t>,</w:t>
      </w:r>
      <w:r w:rsidRPr="00AB37CE">
        <w:rPr>
          <w:color w:val="000000" w:themeColor="text1"/>
        </w:rPr>
        <w:t xml:space="preserve"> витрати</w:t>
      </w:r>
      <w:r w:rsidR="003300D1" w:rsidRPr="00AB37CE">
        <w:rPr>
          <w:color w:val="000000" w:themeColor="text1"/>
        </w:rPr>
        <w:t>,</w:t>
      </w:r>
      <w:r w:rsidRPr="00AB37CE">
        <w:rPr>
          <w:color w:val="000000" w:themeColor="text1"/>
        </w:rPr>
        <w:t xml:space="preserve"> пов'язані з короткостроковими договорами оренди, що не підля</w:t>
      </w:r>
      <w:r w:rsidR="00D4283A" w:rsidRPr="00AB37CE">
        <w:rPr>
          <w:color w:val="000000" w:themeColor="text1"/>
        </w:rPr>
        <w:t>гають дисконтуванню</w:t>
      </w:r>
      <w:r w:rsidR="003300D1" w:rsidRPr="00AB37CE">
        <w:rPr>
          <w:color w:val="000000" w:themeColor="text1"/>
        </w:rPr>
        <w:t>,</w:t>
      </w:r>
      <w:r w:rsidR="00D4283A" w:rsidRPr="00AB37CE">
        <w:rPr>
          <w:color w:val="000000" w:themeColor="text1"/>
        </w:rPr>
        <w:t xml:space="preserve"> склали</w:t>
      </w:r>
      <w:r w:rsidR="00AB37CE" w:rsidRPr="00AB37CE">
        <w:rPr>
          <w:color w:val="000000" w:themeColor="text1"/>
        </w:rPr>
        <w:t xml:space="preserve"> </w:t>
      </w:r>
      <w:r w:rsidR="00C27B57" w:rsidRPr="00417112">
        <w:rPr>
          <w:color w:val="000000" w:themeColor="text1"/>
        </w:rPr>
        <w:t>5</w:t>
      </w:r>
      <w:r w:rsidR="00F95029" w:rsidRPr="00417112">
        <w:rPr>
          <w:color w:val="000000" w:themeColor="text1"/>
        </w:rPr>
        <w:t>0</w:t>
      </w:r>
      <w:r w:rsidRPr="00AB37CE">
        <w:rPr>
          <w:color w:val="000000" w:themeColor="text1"/>
        </w:rPr>
        <w:t> тис.</w:t>
      </w:r>
      <w:r w:rsidR="005A23E9" w:rsidRPr="00AB37CE">
        <w:rPr>
          <w:color w:val="000000" w:themeColor="text1"/>
          <w:lang w:val="ru-RU"/>
        </w:rPr>
        <w:t> </w:t>
      </w:r>
      <w:r w:rsidRPr="00AB37CE">
        <w:rPr>
          <w:color w:val="000000" w:themeColor="text1"/>
        </w:rPr>
        <w:t>грн.</w:t>
      </w:r>
    </w:p>
    <w:p w14:paraId="5C17B44F" w14:textId="2F07FC41" w:rsidR="00746B32" w:rsidRPr="00EA5008" w:rsidRDefault="00746B32" w:rsidP="00746B32">
      <w:pPr>
        <w:spacing w:before="120" w:after="120"/>
        <w:rPr>
          <w:color w:val="000000" w:themeColor="text1"/>
        </w:rPr>
      </w:pPr>
      <w:r w:rsidRPr="00AB37CE">
        <w:rPr>
          <w:color w:val="000000" w:themeColor="text1"/>
        </w:rPr>
        <w:t>Договори оренди Компанії включають типові обмеження та зобов’язання, що є загальними для місцевої ділової практики, такі як відповідальність</w:t>
      </w:r>
      <w:r w:rsidRPr="00EA5008">
        <w:rPr>
          <w:color w:val="000000" w:themeColor="text1"/>
        </w:rPr>
        <w:t xml:space="preserve"> Компанії за регулярне технічне обслуговування, ремонт орендних активів та його страхування, перепланування та проведення постійних поліпшень лише за згодою орендодавця, використання об’єкта лізингу відповідно до чинного законодавства.</w:t>
      </w:r>
    </w:p>
    <w:p w14:paraId="775419B9" w14:textId="77777777" w:rsidR="00920BA5" w:rsidRPr="005324F9" w:rsidRDefault="00462939" w:rsidP="0065373B">
      <w:pPr>
        <w:pStyle w:val="1"/>
        <w:rPr>
          <w:color w:val="000000" w:themeColor="text1"/>
        </w:rPr>
      </w:pPr>
      <w:bookmarkStart w:id="132" w:name="_Toc475007913"/>
      <w:bookmarkStart w:id="133" w:name="_Toc475522360"/>
      <w:bookmarkStart w:id="134" w:name="_Toc68253976"/>
      <w:r w:rsidRPr="005324F9">
        <w:rPr>
          <w:color w:val="000000" w:themeColor="text1"/>
        </w:rPr>
        <w:t>Програми пенсійного забезпечення</w:t>
      </w:r>
      <w:bookmarkEnd w:id="132"/>
      <w:bookmarkEnd w:id="133"/>
      <w:bookmarkEnd w:id="134"/>
    </w:p>
    <w:p w14:paraId="706BBA8D" w14:textId="77777777" w:rsidR="00920BA5" w:rsidRPr="00AB37CE" w:rsidRDefault="00920BA5" w:rsidP="006E1C6B">
      <w:pPr>
        <w:pStyle w:val="af7"/>
        <w:rPr>
          <w:rFonts w:asciiTheme="minorHAnsi" w:hAnsiTheme="minorHAnsi" w:cstheme="minorHAnsi"/>
          <w:color w:val="000000" w:themeColor="text1"/>
        </w:rPr>
      </w:pPr>
      <w:r w:rsidRPr="005324F9">
        <w:rPr>
          <w:rFonts w:asciiTheme="minorHAnsi" w:hAnsiTheme="minorHAnsi" w:cstheme="minorHAnsi"/>
          <w:color w:val="000000" w:themeColor="text1"/>
        </w:rPr>
        <w:t xml:space="preserve">Компанія здійснює платежі до Пенсійного фонду України за ставками та в розмірах визначених законодавством України. Ніяких інших програм пенсійного забезпечення Компанія не використовує. Будь-які можливі одноразові платежі працівникам, що виходять на пенсію, Компанія визнає витратами </w:t>
      </w:r>
      <w:r w:rsidRPr="00AB37CE">
        <w:rPr>
          <w:rFonts w:asciiTheme="minorHAnsi" w:hAnsiTheme="minorHAnsi" w:cstheme="minorHAnsi"/>
          <w:color w:val="000000" w:themeColor="text1"/>
        </w:rPr>
        <w:t>періоду, в якому такі виплати здійснювалися.</w:t>
      </w:r>
    </w:p>
    <w:p w14:paraId="6FE0A63C" w14:textId="1FDEE8A5" w:rsidR="00920BA5" w:rsidRPr="00AB37CE" w:rsidRDefault="00462939" w:rsidP="0065373B">
      <w:pPr>
        <w:pStyle w:val="1"/>
        <w:rPr>
          <w:color w:val="000000" w:themeColor="text1"/>
        </w:rPr>
      </w:pPr>
      <w:bookmarkStart w:id="135" w:name="_Toc475007914"/>
      <w:bookmarkStart w:id="136" w:name="_Toc475522361"/>
      <w:bookmarkStart w:id="137" w:name="_Toc68253977"/>
      <w:r w:rsidRPr="00AB37CE">
        <w:rPr>
          <w:color w:val="000000" w:themeColor="text1"/>
        </w:rPr>
        <w:t>Зміни в обліковій політиці</w:t>
      </w:r>
      <w:bookmarkEnd w:id="135"/>
      <w:bookmarkEnd w:id="136"/>
      <w:bookmarkEnd w:id="137"/>
    </w:p>
    <w:p w14:paraId="458FD27D" w14:textId="47DC88B0" w:rsidR="00AB37CE" w:rsidRPr="00AB37CE" w:rsidRDefault="00466314" w:rsidP="00AB37CE">
      <w:pPr>
        <w:rPr>
          <w:highlight w:val="yellow"/>
        </w:rPr>
      </w:pPr>
      <w:r w:rsidRPr="00B47A15">
        <w:rPr>
          <w:color w:val="000000" w:themeColor="text1"/>
        </w:rPr>
        <w:t>Протягом звітного періоду змін в обліковій політиці Компанії не відбувалось</w:t>
      </w:r>
      <w:r>
        <w:rPr>
          <w:color w:val="000000" w:themeColor="text1"/>
        </w:rPr>
        <w:t>.</w:t>
      </w:r>
    </w:p>
    <w:p w14:paraId="40A5F9A5" w14:textId="77777777" w:rsidR="005474AC" w:rsidRPr="00AB37CE" w:rsidRDefault="00462939" w:rsidP="0065373B">
      <w:pPr>
        <w:pStyle w:val="1"/>
        <w:rPr>
          <w:color w:val="000000" w:themeColor="text1"/>
        </w:rPr>
      </w:pPr>
      <w:bookmarkStart w:id="138" w:name="_Toc475007915"/>
      <w:bookmarkStart w:id="139" w:name="_Toc475522362"/>
      <w:bookmarkStart w:id="140" w:name="_Toc68253978"/>
      <w:r w:rsidRPr="00AB37CE">
        <w:rPr>
          <w:color w:val="000000" w:themeColor="text1"/>
        </w:rPr>
        <w:t>Операції з пов’язаними сторонами</w:t>
      </w:r>
      <w:bookmarkEnd w:id="138"/>
      <w:bookmarkEnd w:id="139"/>
      <w:bookmarkEnd w:id="140"/>
    </w:p>
    <w:p w14:paraId="238B6DC2" w14:textId="62CE52DC" w:rsidR="00467D04" w:rsidRPr="00AB37CE" w:rsidRDefault="00467D04" w:rsidP="00467D04">
      <w:pPr>
        <w:rPr>
          <w:color w:val="000000" w:themeColor="text1"/>
          <w:szCs w:val="20"/>
        </w:rPr>
      </w:pPr>
      <w:r w:rsidRPr="00AB37CE">
        <w:rPr>
          <w:color w:val="000000" w:themeColor="text1"/>
          <w:szCs w:val="20"/>
        </w:rPr>
        <w:t>У відповідності до МСБО (IAS) 24 «Розкриття інформації щодо пов’язаних сторін», сторони вважаються пов’язаними, якщо одна сторона має можливість контролювати іншу сторону або значно впливати на іншу сторону при прийнятті фінансових та операційних рішень. Під час розгляду кожного можливого випадку відносин з пов’язаними сторонами увага приділяється сутності відносин, а не тільки їхній юридичній формі.</w:t>
      </w:r>
    </w:p>
    <w:p w14:paraId="3867421C" w14:textId="16F3B467" w:rsidR="00C50E7D" w:rsidRPr="00AB37CE" w:rsidRDefault="00467D04" w:rsidP="006E1C6B">
      <w:pPr>
        <w:pStyle w:val="af7"/>
        <w:rPr>
          <w:rFonts w:asciiTheme="minorHAnsi" w:hAnsiTheme="minorHAnsi" w:cstheme="minorHAnsi"/>
          <w:color w:val="000000" w:themeColor="text1"/>
        </w:rPr>
      </w:pPr>
      <w:r w:rsidRPr="00AB37CE">
        <w:rPr>
          <w:color w:val="000000" w:themeColor="text1"/>
          <w:szCs w:val="20"/>
        </w:rPr>
        <w:t>Станом на 31 грудня 2019 року пов’язаними</w:t>
      </w:r>
      <w:r w:rsidR="005474AC" w:rsidRPr="00AB37CE">
        <w:rPr>
          <w:rFonts w:asciiTheme="minorHAnsi" w:hAnsiTheme="minorHAnsi" w:cstheme="minorHAnsi"/>
          <w:color w:val="000000" w:themeColor="text1"/>
        </w:rPr>
        <w:t xml:space="preserve"> </w:t>
      </w:r>
      <w:r w:rsidRPr="00AB37CE">
        <w:rPr>
          <w:rFonts w:asciiTheme="minorHAnsi" w:hAnsiTheme="minorHAnsi" w:cstheme="minorHAnsi"/>
          <w:color w:val="000000" w:themeColor="text1"/>
        </w:rPr>
        <w:t xml:space="preserve">сторонами </w:t>
      </w:r>
      <w:r w:rsidR="005474AC" w:rsidRPr="00AB37CE">
        <w:rPr>
          <w:rFonts w:asciiTheme="minorHAnsi" w:hAnsiTheme="minorHAnsi" w:cstheme="minorHAnsi"/>
          <w:color w:val="000000" w:themeColor="text1"/>
        </w:rPr>
        <w:t>Компанії є власний управлінський персонал та акціонери</w:t>
      </w:r>
      <w:r w:rsidR="001872F9" w:rsidRPr="00AB37CE">
        <w:rPr>
          <w:rFonts w:asciiTheme="minorHAnsi" w:hAnsiTheme="minorHAnsi" w:cstheme="minorHAnsi"/>
          <w:color w:val="000000" w:themeColor="text1"/>
        </w:rPr>
        <w:t xml:space="preserve"> згідно реєстру</w:t>
      </w:r>
      <w:r w:rsidR="005474AC" w:rsidRPr="00AB37CE">
        <w:rPr>
          <w:rFonts w:asciiTheme="minorHAnsi" w:hAnsiTheme="minorHAnsi" w:cstheme="minorHAnsi"/>
          <w:color w:val="000000" w:themeColor="text1"/>
        </w:rPr>
        <w:t xml:space="preserve">. Керівництво Компанії складається з Виконавчої дирекції, Наглядової ради та Ревізійної комісії. </w:t>
      </w:r>
    </w:p>
    <w:p w14:paraId="36C9FD72" w14:textId="704D07B2" w:rsidR="00B4382B" w:rsidRPr="00AB37CE" w:rsidRDefault="005474AC" w:rsidP="006E1C6B">
      <w:pPr>
        <w:pStyle w:val="af7"/>
        <w:rPr>
          <w:rFonts w:asciiTheme="minorHAnsi" w:hAnsiTheme="minorHAnsi" w:cstheme="minorHAnsi"/>
          <w:color w:val="000000" w:themeColor="text1"/>
        </w:rPr>
      </w:pPr>
      <w:r w:rsidRPr="00AB37CE">
        <w:rPr>
          <w:rFonts w:asciiTheme="minorHAnsi" w:hAnsiTheme="minorHAnsi" w:cstheme="minorHAnsi"/>
          <w:color w:val="000000" w:themeColor="text1"/>
        </w:rPr>
        <w:t>Операції з пов’язаними сторонами, за виключенням виплат ключовому управлінському персоналу, відсутні.</w:t>
      </w:r>
    </w:p>
    <w:tbl>
      <w:tblPr>
        <w:tblW w:w="9639" w:type="dxa"/>
        <w:tblInd w:w="108" w:type="dxa"/>
        <w:tblLayout w:type="fixed"/>
        <w:tblLook w:val="04A0" w:firstRow="1" w:lastRow="0" w:firstColumn="1" w:lastColumn="0" w:noHBand="0" w:noVBand="1"/>
      </w:tblPr>
      <w:tblGrid>
        <w:gridCol w:w="5387"/>
        <w:gridCol w:w="2126"/>
        <w:gridCol w:w="2126"/>
      </w:tblGrid>
      <w:tr w:rsidR="00D30658" w:rsidRPr="008756CD" w14:paraId="66AC38E5" w14:textId="77777777" w:rsidTr="00E75B06">
        <w:trPr>
          <w:trHeight w:val="394"/>
        </w:trPr>
        <w:tc>
          <w:tcPr>
            <w:tcW w:w="5387" w:type="dxa"/>
            <w:tcBorders>
              <w:left w:val="nil"/>
              <w:bottom w:val="single" w:sz="4" w:space="0" w:color="auto"/>
              <w:right w:val="nil"/>
            </w:tcBorders>
            <w:shd w:val="clear" w:color="auto" w:fill="auto"/>
            <w:vAlign w:val="center"/>
            <w:hideMark/>
          </w:tcPr>
          <w:p w14:paraId="6C724268" w14:textId="14486A31" w:rsidR="00467D04" w:rsidRPr="00AB37CE" w:rsidRDefault="00D30658" w:rsidP="00305860">
            <w:pPr>
              <w:pStyle w:val="afe"/>
              <w:jc w:val="both"/>
              <w:rPr>
                <w:rFonts w:ascii="Arial" w:hAnsi="Arial" w:cs="Arial"/>
                <w:b/>
                <w:color w:val="000000" w:themeColor="text1"/>
                <w:sz w:val="20"/>
                <w:szCs w:val="20"/>
                <w:lang w:val="uk-UA"/>
              </w:rPr>
            </w:pPr>
            <w:bookmarkStart w:id="141" w:name="_Toc475007916"/>
            <w:bookmarkStart w:id="142" w:name="_Toc475522363"/>
            <w:r w:rsidRPr="00AB37CE">
              <w:rPr>
                <w:rFonts w:ascii="Arial" w:hAnsi="Arial" w:cs="Arial"/>
                <w:b/>
                <w:color w:val="000000" w:themeColor="text1"/>
                <w:sz w:val="20"/>
                <w:szCs w:val="20"/>
                <w:lang w:val="uk-UA"/>
              </w:rPr>
              <w:t>25</w:t>
            </w:r>
            <w:r w:rsidR="00467D04" w:rsidRPr="00AB37CE">
              <w:rPr>
                <w:rFonts w:ascii="Arial" w:hAnsi="Arial" w:cs="Arial"/>
                <w:b/>
                <w:color w:val="000000" w:themeColor="text1"/>
                <w:sz w:val="20"/>
                <w:szCs w:val="20"/>
                <w:lang w:val="uk-UA"/>
              </w:rPr>
              <w:t>.1 Виплати ключовому персоналу</w:t>
            </w:r>
          </w:p>
        </w:tc>
        <w:tc>
          <w:tcPr>
            <w:tcW w:w="2126" w:type="dxa"/>
            <w:tcBorders>
              <w:left w:val="nil"/>
              <w:bottom w:val="single" w:sz="4" w:space="0" w:color="auto"/>
              <w:right w:val="nil"/>
            </w:tcBorders>
            <w:shd w:val="clear" w:color="auto" w:fill="auto"/>
            <w:vAlign w:val="center"/>
            <w:hideMark/>
          </w:tcPr>
          <w:p w14:paraId="766A8B09" w14:textId="7328C6F2" w:rsidR="00467D04" w:rsidRPr="00826169" w:rsidRDefault="00AB37CE" w:rsidP="00305860">
            <w:pPr>
              <w:pStyle w:val="afe"/>
              <w:jc w:val="right"/>
              <w:rPr>
                <w:rFonts w:ascii="Arial" w:hAnsi="Arial" w:cs="Arial"/>
                <w:b/>
                <w:color w:val="000000" w:themeColor="text1"/>
                <w:sz w:val="20"/>
                <w:szCs w:val="20"/>
                <w:lang w:val="uk-UA"/>
              </w:rPr>
            </w:pPr>
            <w:r w:rsidRPr="00826169">
              <w:rPr>
                <w:rFonts w:ascii="Arial" w:hAnsi="Arial" w:cs="Arial"/>
                <w:b/>
                <w:color w:val="000000" w:themeColor="text1"/>
                <w:sz w:val="20"/>
                <w:szCs w:val="20"/>
                <w:lang w:val="uk-UA"/>
              </w:rPr>
              <w:t>Рік, що закінчився 31.12.2020</w:t>
            </w:r>
          </w:p>
        </w:tc>
        <w:tc>
          <w:tcPr>
            <w:tcW w:w="2126" w:type="dxa"/>
            <w:tcBorders>
              <w:left w:val="nil"/>
              <w:bottom w:val="single" w:sz="4" w:space="0" w:color="auto"/>
              <w:right w:val="nil"/>
            </w:tcBorders>
            <w:shd w:val="clear" w:color="auto" w:fill="auto"/>
            <w:vAlign w:val="center"/>
            <w:hideMark/>
          </w:tcPr>
          <w:p w14:paraId="7064D0D4" w14:textId="448E6F9C" w:rsidR="00467D04" w:rsidRPr="00AB37CE" w:rsidRDefault="00AB37CE" w:rsidP="00305860">
            <w:pPr>
              <w:pStyle w:val="afe"/>
              <w:jc w:val="right"/>
              <w:rPr>
                <w:rFonts w:ascii="Arial" w:hAnsi="Arial" w:cs="Arial"/>
                <w:b/>
                <w:color w:val="000000" w:themeColor="text1"/>
                <w:sz w:val="20"/>
                <w:szCs w:val="20"/>
                <w:lang w:val="uk-UA"/>
              </w:rPr>
            </w:pPr>
            <w:r w:rsidRPr="00AB37CE">
              <w:rPr>
                <w:rFonts w:ascii="Arial" w:hAnsi="Arial" w:cs="Arial"/>
                <w:b/>
                <w:color w:val="000000" w:themeColor="text1"/>
                <w:sz w:val="20"/>
                <w:szCs w:val="20"/>
                <w:lang w:val="uk-UA"/>
              </w:rPr>
              <w:t>Рік, що закінчився 31.12.2019</w:t>
            </w:r>
          </w:p>
        </w:tc>
      </w:tr>
      <w:tr w:rsidR="00AB37CE" w:rsidRPr="008756CD" w14:paraId="061DB825" w14:textId="77777777" w:rsidTr="00AF6B9C">
        <w:trPr>
          <w:trHeight w:val="197"/>
        </w:trPr>
        <w:tc>
          <w:tcPr>
            <w:tcW w:w="5387" w:type="dxa"/>
            <w:tcBorders>
              <w:top w:val="nil"/>
              <w:left w:val="nil"/>
              <w:right w:val="nil"/>
            </w:tcBorders>
            <w:shd w:val="clear" w:color="auto" w:fill="auto"/>
            <w:vAlign w:val="center"/>
            <w:hideMark/>
          </w:tcPr>
          <w:p w14:paraId="780F87F9" w14:textId="77777777" w:rsidR="00AB37CE" w:rsidRPr="00AB37CE" w:rsidRDefault="00AB37CE" w:rsidP="00AB37CE">
            <w:pPr>
              <w:pStyle w:val="afe"/>
              <w:jc w:val="both"/>
              <w:rPr>
                <w:rFonts w:ascii="Arial" w:hAnsi="Arial" w:cs="Arial"/>
                <w:color w:val="000000" w:themeColor="text1"/>
                <w:sz w:val="20"/>
                <w:szCs w:val="20"/>
                <w:lang w:val="uk-UA"/>
              </w:rPr>
            </w:pPr>
            <w:r w:rsidRPr="00AB37CE">
              <w:rPr>
                <w:rFonts w:ascii="Arial" w:hAnsi="Arial" w:cs="Arial"/>
                <w:color w:val="000000" w:themeColor="text1"/>
                <w:sz w:val="20"/>
                <w:szCs w:val="20"/>
                <w:lang w:val="uk-UA"/>
              </w:rPr>
              <w:t>Зарплата</w:t>
            </w:r>
          </w:p>
        </w:tc>
        <w:tc>
          <w:tcPr>
            <w:tcW w:w="2126" w:type="dxa"/>
            <w:tcBorders>
              <w:top w:val="nil"/>
              <w:left w:val="nil"/>
              <w:right w:val="nil"/>
            </w:tcBorders>
            <w:shd w:val="clear" w:color="auto" w:fill="auto"/>
            <w:vAlign w:val="bottom"/>
            <w:hideMark/>
          </w:tcPr>
          <w:p w14:paraId="06E0530C" w14:textId="1AE59A2A" w:rsidR="00AB37CE" w:rsidRPr="0096314D" w:rsidRDefault="00AB37CE" w:rsidP="0093365B">
            <w:pPr>
              <w:pStyle w:val="afe"/>
              <w:jc w:val="right"/>
              <w:rPr>
                <w:rFonts w:ascii="Arial" w:hAnsi="Arial" w:cs="Arial"/>
                <w:color w:val="000000" w:themeColor="text1"/>
                <w:sz w:val="20"/>
                <w:szCs w:val="20"/>
                <w:lang w:val="uk-UA"/>
              </w:rPr>
            </w:pPr>
            <w:r w:rsidRPr="0096314D">
              <w:rPr>
                <w:rFonts w:ascii="Arial" w:hAnsi="Arial" w:cs="Arial"/>
                <w:color w:val="000000" w:themeColor="text1"/>
                <w:sz w:val="20"/>
                <w:szCs w:val="20"/>
              </w:rPr>
              <w:t xml:space="preserve">7 </w:t>
            </w:r>
            <w:r w:rsidR="0093365B" w:rsidRPr="0096314D">
              <w:rPr>
                <w:rFonts w:ascii="Arial" w:hAnsi="Arial" w:cs="Arial"/>
                <w:color w:val="000000" w:themeColor="text1"/>
                <w:sz w:val="20"/>
                <w:szCs w:val="20"/>
                <w:lang w:val="uk-UA"/>
              </w:rPr>
              <w:t>542</w:t>
            </w:r>
            <w:r w:rsidRPr="0096314D">
              <w:rPr>
                <w:rFonts w:ascii="Arial" w:hAnsi="Arial" w:cs="Arial"/>
                <w:color w:val="000000" w:themeColor="text1"/>
                <w:sz w:val="20"/>
                <w:szCs w:val="20"/>
              </w:rPr>
              <w:t xml:space="preserve"> </w:t>
            </w:r>
          </w:p>
        </w:tc>
        <w:tc>
          <w:tcPr>
            <w:tcW w:w="2126" w:type="dxa"/>
            <w:tcBorders>
              <w:top w:val="nil"/>
              <w:left w:val="nil"/>
              <w:right w:val="nil"/>
            </w:tcBorders>
            <w:shd w:val="clear" w:color="auto" w:fill="auto"/>
            <w:vAlign w:val="bottom"/>
          </w:tcPr>
          <w:p w14:paraId="66DEA2F0" w14:textId="27336615" w:rsidR="00AB37CE" w:rsidRPr="00AB37CE" w:rsidRDefault="00AB37CE" w:rsidP="00AB37CE">
            <w:pPr>
              <w:pStyle w:val="afe"/>
              <w:jc w:val="right"/>
              <w:rPr>
                <w:rFonts w:ascii="Arial" w:hAnsi="Arial" w:cs="Arial"/>
                <w:color w:val="000000" w:themeColor="text1"/>
                <w:sz w:val="20"/>
                <w:szCs w:val="20"/>
                <w:lang w:val="uk-UA"/>
              </w:rPr>
            </w:pPr>
            <w:r w:rsidRPr="00AB37CE">
              <w:rPr>
                <w:rFonts w:ascii="Arial" w:hAnsi="Arial" w:cs="Arial"/>
                <w:color w:val="000000" w:themeColor="text1"/>
                <w:sz w:val="20"/>
                <w:szCs w:val="20"/>
              </w:rPr>
              <w:t xml:space="preserve">7 808 </w:t>
            </w:r>
          </w:p>
        </w:tc>
      </w:tr>
      <w:tr w:rsidR="00AB37CE" w:rsidRPr="008756CD" w14:paraId="22AFF9FD" w14:textId="77777777" w:rsidTr="00AF6B9C">
        <w:trPr>
          <w:trHeight w:val="208"/>
        </w:trPr>
        <w:tc>
          <w:tcPr>
            <w:tcW w:w="5387" w:type="dxa"/>
            <w:tcBorders>
              <w:top w:val="nil"/>
              <w:left w:val="nil"/>
              <w:bottom w:val="single" w:sz="4" w:space="0" w:color="auto"/>
              <w:right w:val="nil"/>
            </w:tcBorders>
            <w:shd w:val="clear" w:color="auto" w:fill="auto"/>
            <w:vAlign w:val="center"/>
            <w:hideMark/>
          </w:tcPr>
          <w:p w14:paraId="3D2E0695" w14:textId="7AB96545" w:rsidR="00AB37CE" w:rsidRPr="00AB37CE" w:rsidRDefault="00AB37CE" w:rsidP="00AB37CE">
            <w:pPr>
              <w:pStyle w:val="afe"/>
              <w:jc w:val="both"/>
              <w:rPr>
                <w:rFonts w:ascii="Arial" w:hAnsi="Arial" w:cs="Arial"/>
                <w:color w:val="000000" w:themeColor="text1"/>
                <w:sz w:val="20"/>
                <w:szCs w:val="20"/>
                <w:lang w:val="uk-UA"/>
              </w:rPr>
            </w:pPr>
            <w:r w:rsidRPr="00AB37CE">
              <w:rPr>
                <w:rFonts w:ascii="Arial" w:hAnsi="Arial" w:cs="Arial"/>
                <w:color w:val="000000" w:themeColor="text1"/>
                <w:sz w:val="20"/>
                <w:szCs w:val="20"/>
                <w:lang w:val="uk-UA"/>
              </w:rPr>
              <w:t>ЄСВ</w:t>
            </w:r>
          </w:p>
        </w:tc>
        <w:tc>
          <w:tcPr>
            <w:tcW w:w="2126" w:type="dxa"/>
            <w:tcBorders>
              <w:top w:val="nil"/>
              <w:left w:val="nil"/>
              <w:bottom w:val="single" w:sz="4" w:space="0" w:color="auto"/>
              <w:right w:val="nil"/>
            </w:tcBorders>
            <w:shd w:val="clear" w:color="auto" w:fill="auto"/>
            <w:vAlign w:val="bottom"/>
            <w:hideMark/>
          </w:tcPr>
          <w:p w14:paraId="29BF633D" w14:textId="6C8D0E79" w:rsidR="00AB37CE" w:rsidRPr="0096314D" w:rsidRDefault="0093365B" w:rsidP="00AB37CE">
            <w:pPr>
              <w:pStyle w:val="afe"/>
              <w:jc w:val="right"/>
              <w:rPr>
                <w:rFonts w:ascii="Arial" w:hAnsi="Arial" w:cs="Arial"/>
                <w:color w:val="000000" w:themeColor="text1"/>
                <w:sz w:val="20"/>
                <w:szCs w:val="20"/>
                <w:lang w:val="uk-UA"/>
              </w:rPr>
            </w:pPr>
            <w:r w:rsidRPr="0096314D">
              <w:rPr>
                <w:rFonts w:ascii="Arial" w:hAnsi="Arial" w:cs="Arial"/>
                <w:color w:val="000000" w:themeColor="text1"/>
                <w:sz w:val="20"/>
                <w:szCs w:val="20"/>
                <w:lang w:val="uk-UA"/>
              </w:rPr>
              <w:t>793</w:t>
            </w:r>
            <w:r w:rsidR="00AB37CE" w:rsidRPr="0096314D">
              <w:rPr>
                <w:rFonts w:ascii="Arial" w:hAnsi="Arial" w:cs="Arial"/>
                <w:color w:val="000000" w:themeColor="text1"/>
                <w:sz w:val="20"/>
                <w:szCs w:val="20"/>
              </w:rPr>
              <w:t xml:space="preserve"> </w:t>
            </w:r>
          </w:p>
        </w:tc>
        <w:tc>
          <w:tcPr>
            <w:tcW w:w="2126" w:type="dxa"/>
            <w:tcBorders>
              <w:top w:val="nil"/>
              <w:left w:val="nil"/>
              <w:bottom w:val="single" w:sz="4" w:space="0" w:color="auto"/>
              <w:right w:val="nil"/>
            </w:tcBorders>
            <w:shd w:val="clear" w:color="auto" w:fill="auto"/>
            <w:vAlign w:val="bottom"/>
          </w:tcPr>
          <w:p w14:paraId="2E4EDE39" w14:textId="1FA0323D" w:rsidR="00AB37CE" w:rsidRPr="00AB37CE" w:rsidRDefault="00AB37CE" w:rsidP="00AB37CE">
            <w:pPr>
              <w:pStyle w:val="afe"/>
              <w:jc w:val="right"/>
              <w:rPr>
                <w:rFonts w:ascii="Arial" w:hAnsi="Arial" w:cs="Arial"/>
                <w:color w:val="000000" w:themeColor="text1"/>
                <w:sz w:val="20"/>
                <w:szCs w:val="20"/>
                <w:lang w:val="uk-UA"/>
              </w:rPr>
            </w:pPr>
            <w:r w:rsidRPr="00AB37CE">
              <w:rPr>
                <w:rFonts w:ascii="Arial" w:hAnsi="Arial" w:cs="Arial"/>
                <w:color w:val="000000" w:themeColor="text1"/>
                <w:sz w:val="20"/>
                <w:szCs w:val="20"/>
              </w:rPr>
              <w:t xml:space="preserve">704 </w:t>
            </w:r>
          </w:p>
        </w:tc>
      </w:tr>
      <w:tr w:rsidR="00AB37CE" w:rsidRPr="008756CD" w14:paraId="44F15286" w14:textId="77777777" w:rsidTr="00AF6B9C">
        <w:trPr>
          <w:trHeight w:val="208"/>
        </w:trPr>
        <w:tc>
          <w:tcPr>
            <w:tcW w:w="5387" w:type="dxa"/>
            <w:tcBorders>
              <w:top w:val="single" w:sz="4" w:space="0" w:color="auto"/>
              <w:left w:val="nil"/>
              <w:bottom w:val="nil"/>
              <w:right w:val="nil"/>
            </w:tcBorders>
            <w:shd w:val="clear" w:color="auto" w:fill="auto"/>
            <w:vAlign w:val="center"/>
            <w:hideMark/>
          </w:tcPr>
          <w:p w14:paraId="54162B1D" w14:textId="77777777" w:rsidR="00AB37CE" w:rsidRPr="00AB37CE" w:rsidRDefault="00AB37CE" w:rsidP="00AB37CE">
            <w:pPr>
              <w:pStyle w:val="afe"/>
              <w:jc w:val="both"/>
              <w:rPr>
                <w:rFonts w:ascii="Arial" w:hAnsi="Arial" w:cs="Arial"/>
                <w:b/>
                <w:color w:val="000000" w:themeColor="text1"/>
                <w:sz w:val="20"/>
                <w:szCs w:val="20"/>
                <w:lang w:val="uk-UA"/>
              </w:rPr>
            </w:pPr>
            <w:r w:rsidRPr="00AB37CE">
              <w:rPr>
                <w:rFonts w:ascii="Arial" w:hAnsi="Arial" w:cs="Arial"/>
                <w:b/>
                <w:color w:val="000000" w:themeColor="text1"/>
                <w:sz w:val="20"/>
                <w:szCs w:val="20"/>
                <w:lang w:val="uk-UA"/>
              </w:rPr>
              <w:t>Разом:</w:t>
            </w:r>
          </w:p>
        </w:tc>
        <w:tc>
          <w:tcPr>
            <w:tcW w:w="2126" w:type="dxa"/>
            <w:tcBorders>
              <w:top w:val="single" w:sz="4" w:space="0" w:color="auto"/>
              <w:left w:val="nil"/>
              <w:bottom w:val="nil"/>
              <w:right w:val="nil"/>
            </w:tcBorders>
            <w:shd w:val="clear" w:color="auto" w:fill="auto"/>
            <w:vAlign w:val="bottom"/>
            <w:hideMark/>
          </w:tcPr>
          <w:p w14:paraId="7180C6F5" w14:textId="230ED9FD" w:rsidR="00AB37CE" w:rsidRPr="0096314D" w:rsidRDefault="00AB37CE" w:rsidP="00C33E73">
            <w:pPr>
              <w:pStyle w:val="afe"/>
              <w:jc w:val="right"/>
              <w:rPr>
                <w:rFonts w:ascii="Arial" w:hAnsi="Arial" w:cs="Arial"/>
                <w:b/>
                <w:color w:val="000000" w:themeColor="text1"/>
                <w:sz w:val="20"/>
                <w:szCs w:val="20"/>
                <w:lang w:val="uk-UA"/>
              </w:rPr>
            </w:pPr>
            <w:r w:rsidRPr="0096314D">
              <w:rPr>
                <w:rFonts w:ascii="Arial" w:hAnsi="Arial" w:cs="Arial"/>
                <w:b/>
                <w:bCs/>
                <w:color w:val="000000" w:themeColor="text1"/>
                <w:sz w:val="20"/>
                <w:szCs w:val="20"/>
              </w:rPr>
              <w:t xml:space="preserve">8 </w:t>
            </w:r>
            <w:r w:rsidR="00C33E73" w:rsidRPr="0096314D">
              <w:rPr>
                <w:rFonts w:ascii="Arial" w:hAnsi="Arial" w:cs="Arial"/>
                <w:b/>
                <w:bCs/>
                <w:color w:val="000000" w:themeColor="text1"/>
                <w:sz w:val="20"/>
                <w:szCs w:val="20"/>
                <w:lang w:val="uk-UA"/>
              </w:rPr>
              <w:t>335</w:t>
            </w:r>
            <w:r w:rsidRPr="0096314D">
              <w:rPr>
                <w:rFonts w:ascii="Arial" w:hAnsi="Arial" w:cs="Arial"/>
                <w:b/>
                <w:bCs/>
                <w:color w:val="000000" w:themeColor="text1"/>
                <w:sz w:val="20"/>
                <w:szCs w:val="20"/>
              </w:rPr>
              <w:t xml:space="preserve"> </w:t>
            </w:r>
          </w:p>
        </w:tc>
        <w:tc>
          <w:tcPr>
            <w:tcW w:w="2126" w:type="dxa"/>
            <w:tcBorders>
              <w:top w:val="single" w:sz="4" w:space="0" w:color="auto"/>
              <w:left w:val="nil"/>
              <w:bottom w:val="nil"/>
              <w:right w:val="nil"/>
            </w:tcBorders>
            <w:shd w:val="clear" w:color="auto" w:fill="auto"/>
            <w:vAlign w:val="bottom"/>
            <w:hideMark/>
          </w:tcPr>
          <w:p w14:paraId="745D9385" w14:textId="1AA679BF" w:rsidR="00AB37CE" w:rsidRPr="00AB37CE" w:rsidRDefault="00AB37CE" w:rsidP="00AB37CE">
            <w:pPr>
              <w:pStyle w:val="afe"/>
              <w:jc w:val="right"/>
              <w:rPr>
                <w:rFonts w:ascii="Arial" w:hAnsi="Arial" w:cs="Arial"/>
                <w:b/>
                <w:color w:val="000000" w:themeColor="text1"/>
                <w:sz w:val="20"/>
                <w:szCs w:val="20"/>
                <w:lang w:val="uk-UA"/>
              </w:rPr>
            </w:pPr>
            <w:r w:rsidRPr="00AB37CE">
              <w:rPr>
                <w:rFonts w:ascii="Arial" w:hAnsi="Arial" w:cs="Arial"/>
                <w:b/>
                <w:bCs/>
                <w:color w:val="000000" w:themeColor="text1"/>
                <w:sz w:val="20"/>
                <w:szCs w:val="20"/>
              </w:rPr>
              <w:t xml:space="preserve">8 512 </w:t>
            </w:r>
          </w:p>
        </w:tc>
      </w:tr>
    </w:tbl>
    <w:p w14:paraId="1E164ED7" w14:textId="30014A25" w:rsidR="00435FED" w:rsidRPr="00AB37CE" w:rsidRDefault="008E71C0" w:rsidP="0065373B">
      <w:pPr>
        <w:pStyle w:val="1"/>
        <w:rPr>
          <w:color w:val="000000" w:themeColor="text1"/>
        </w:rPr>
      </w:pPr>
      <w:bookmarkStart w:id="143" w:name="_Toc68253979"/>
      <w:r w:rsidRPr="00AB37CE">
        <w:rPr>
          <w:color w:val="000000" w:themeColor="text1"/>
        </w:rPr>
        <w:lastRenderedPageBreak/>
        <w:t>Перерахунок фінансової звітності за рік, що закінчився 31 грудня 201</w:t>
      </w:r>
      <w:r w:rsidR="00AB37CE" w:rsidRPr="00AB37CE">
        <w:rPr>
          <w:color w:val="000000" w:themeColor="text1"/>
        </w:rPr>
        <w:t>9</w:t>
      </w:r>
      <w:r w:rsidR="00AB3C61" w:rsidRPr="00AB37CE">
        <w:rPr>
          <w:color w:val="000000" w:themeColor="text1"/>
        </w:rPr>
        <w:t xml:space="preserve"> </w:t>
      </w:r>
      <w:r w:rsidRPr="00AB37CE">
        <w:rPr>
          <w:color w:val="000000" w:themeColor="text1"/>
        </w:rPr>
        <w:t>року</w:t>
      </w:r>
      <w:bookmarkEnd w:id="141"/>
      <w:bookmarkEnd w:id="142"/>
      <w:bookmarkEnd w:id="143"/>
    </w:p>
    <w:p w14:paraId="58DB44F4" w14:textId="623594CB" w:rsidR="00435FED" w:rsidRPr="00AB37CE" w:rsidRDefault="008E71C0" w:rsidP="00BB1B29">
      <w:pPr>
        <w:pStyle w:val="0"/>
        <w:rPr>
          <w:color w:val="000000" w:themeColor="text1"/>
          <w:lang w:val="uk-UA"/>
        </w:rPr>
      </w:pPr>
      <w:r w:rsidRPr="00AB37CE">
        <w:rPr>
          <w:color w:val="000000" w:themeColor="text1"/>
          <w:lang w:val="uk-UA"/>
        </w:rPr>
        <w:t>Коригування у</w:t>
      </w:r>
      <w:r w:rsidR="00435FED" w:rsidRPr="00AB37CE">
        <w:rPr>
          <w:color w:val="000000" w:themeColor="text1"/>
          <w:lang w:val="uk-UA"/>
        </w:rPr>
        <w:t xml:space="preserve"> </w:t>
      </w:r>
      <w:r w:rsidR="001F27D9" w:rsidRPr="00AB37CE">
        <w:rPr>
          <w:color w:val="000000" w:themeColor="text1"/>
          <w:lang w:val="uk-UA"/>
        </w:rPr>
        <w:t>Балансі (З</w:t>
      </w:r>
      <w:r w:rsidR="00435FED" w:rsidRPr="00AB37CE">
        <w:rPr>
          <w:color w:val="000000" w:themeColor="text1"/>
          <w:lang w:val="uk-UA"/>
        </w:rPr>
        <w:t>віті про фінансовий стан</w:t>
      </w:r>
      <w:r w:rsidR="001F27D9" w:rsidRPr="00AB37CE">
        <w:rPr>
          <w:color w:val="000000" w:themeColor="text1"/>
          <w:lang w:val="uk-UA"/>
        </w:rPr>
        <w:t>)</w:t>
      </w:r>
      <w:r w:rsidR="00C25497" w:rsidRPr="00AB37CE">
        <w:rPr>
          <w:color w:val="000000" w:themeColor="text1"/>
          <w:lang w:val="uk-UA"/>
        </w:rPr>
        <w:t xml:space="preserve"> станом </w:t>
      </w:r>
      <w:r w:rsidR="0065373B" w:rsidRPr="00AB37CE">
        <w:rPr>
          <w:color w:val="000000" w:themeColor="text1"/>
          <w:lang w:val="uk-UA"/>
        </w:rPr>
        <w:t>на 31 грудня </w:t>
      </w:r>
      <w:r w:rsidR="005C7C47" w:rsidRPr="00AB37CE">
        <w:rPr>
          <w:color w:val="000000" w:themeColor="text1"/>
          <w:lang w:val="uk-UA"/>
        </w:rPr>
        <w:t>201</w:t>
      </w:r>
      <w:r w:rsidR="00AB37CE" w:rsidRPr="00AB37CE">
        <w:rPr>
          <w:color w:val="000000" w:themeColor="text1"/>
          <w:lang w:val="uk-UA"/>
        </w:rPr>
        <w:t>9</w:t>
      </w:r>
      <w:r w:rsidR="00435FED" w:rsidRPr="00AB37CE">
        <w:rPr>
          <w:color w:val="000000" w:themeColor="text1"/>
          <w:lang w:val="uk-UA"/>
        </w:rPr>
        <w:t xml:space="preserve"> року</w:t>
      </w:r>
      <w:r w:rsidR="009B5D75" w:rsidRPr="00AB37CE">
        <w:rPr>
          <w:color w:val="000000" w:themeColor="text1"/>
          <w:lang w:val="uk-UA"/>
        </w:rPr>
        <w:t>.</w:t>
      </w:r>
    </w:p>
    <w:p w14:paraId="7632A6E5" w14:textId="77777777" w:rsidR="00AC3534" w:rsidRPr="008756CD" w:rsidRDefault="00AC3534" w:rsidP="00CD3045">
      <w:pPr>
        <w:tabs>
          <w:tab w:val="left" w:pos="284"/>
        </w:tabs>
        <w:spacing w:after="120"/>
        <w:rPr>
          <w:rFonts w:asciiTheme="minorHAnsi" w:hAnsiTheme="minorHAnsi" w:cstheme="minorHAnsi"/>
          <w:color w:val="000000" w:themeColor="text1"/>
          <w:highlight w:val="yellow"/>
        </w:rPr>
      </w:pPr>
    </w:p>
    <w:tbl>
      <w:tblPr>
        <w:tblW w:w="4979" w:type="pct"/>
        <w:tblLayout w:type="fixed"/>
        <w:tblLook w:val="04A0" w:firstRow="1" w:lastRow="0" w:firstColumn="1" w:lastColumn="0" w:noHBand="0" w:noVBand="1"/>
      </w:tblPr>
      <w:tblGrid>
        <w:gridCol w:w="3546"/>
        <w:gridCol w:w="1419"/>
        <w:gridCol w:w="1274"/>
        <w:gridCol w:w="1560"/>
        <w:gridCol w:w="1798"/>
      </w:tblGrid>
      <w:tr w:rsidR="002D6E90" w:rsidRPr="008756CD" w14:paraId="7E6260B9" w14:textId="77777777" w:rsidTr="002D6E90">
        <w:trPr>
          <w:trHeight w:val="510"/>
          <w:tblHeader/>
        </w:trPr>
        <w:tc>
          <w:tcPr>
            <w:tcW w:w="1847" w:type="pct"/>
            <w:tcBorders>
              <w:left w:val="nil"/>
              <w:bottom w:val="single" w:sz="4" w:space="0" w:color="auto"/>
              <w:right w:val="nil"/>
            </w:tcBorders>
            <w:shd w:val="clear" w:color="auto" w:fill="auto"/>
            <w:noWrap/>
            <w:vAlign w:val="center"/>
            <w:hideMark/>
          </w:tcPr>
          <w:p w14:paraId="103988B2" w14:textId="357BFA6D" w:rsidR="002D6E90" w:rsidRPr="00AB37CE" w:rsidRDefault="002D6E90" w:rsidP="000353D2">
            <w:pPr>
              <w:jc w:val="left"/>
              <w:rPr>
                <w:rFonts w:asciiTheme="minorHAnsi" w:hAnsiTheme="minorHAnsi" w:cstheme="minorHAnsi"/>
                <w:b/>
                <w:bCs/>
                <w:color w:val="000000" w:themeColor="text1"/>
                <w:szCs w:val="20"/>
              </w:rPr>
            </w:pPr>
            <w:r w:rsidRPr="00AB37CE">
              <w:rPr>
                <w:rFonts w:asciiTheme="minorHAnsi" w:hAnsiTheme="minorHAnsi" w:cstheme="minorHAnsi"/>
                <w:b/>
                <w:bCs/>
                <w:color w:val="000000" w:themeColor="text1"/>
                <w:szCs w:val="20"/>
              </w:rPr>
              <w:t>26.1 Коригування на 31.12.201</w:t>
            </w:r>
            <w:r w:rsidR="000353D2">
              <w:rPr>
                <w:rFonts w:asciiTheme="minorHAnsi" w:hAnsiTheme="minorHAnsi" w:cstheme="minorHAnsi"/>
                <w:b/>
                <w:bCs/>
                <w:color w:val="000000" w:themeColor="text1"/>
                <w:szCs w:val="20"/>
              </w:rPr>
              <w:t xml:space="preserve">9 </w:t>
            </w:r>
          </w:p>
        </w:tc>
        <w:tc>
          <w:tcPr>
            <w:tcW w:w="739" w:type="pct"/>
            <w:tcBorders>
              <w:left w:val="nil"/>
              <w:bottom w:val="single" w:sz="4" w:space="0" w:color="auto"/>
              <w:right w:val="nil"/>
            </w:tcBorders>
            <w:vAlign w:val="center"/>
          </w:tcPr>
          <w:p w14:paraId="76C2B39B" w14:textId="2270E65D" w:rsidR="002D6E90" w:rsidRPr="00AB37CE" w:rsidRDefault="002D6E90" w:rsidP="002D6E90">
            <w:pPr>
              <w:jc w:val="center"/>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Пояснення</w:t>
            </w:r>
          </w:p>
        </w:tc>
        <w:tc>
          <w:tcPr>
            <w:tcW w:w="664" w:type="pct"/>
            <w:tcBorders>
              <w:left w:val="nil"/>
              <w:bottom w:val="single" w:sz="4" w:space="0" w:color="auto"/>
              <w:right w:val="nil"/>
            </w:tcBorders>
            <w:vAlign w:val="center"/>
          </w:tcPr>
          <w:p w14:paraId="0A3DBE8D" w14:textId="3E05D028" w:rsidR="002D6E90" w:rsidRPr="00AB37CE" w:rsidRDefault="002D6E90" w:rsidP="00AB37CE">
            <w:pPr>
              <w:jc w:val="right"/>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31.12.201</w:t>
            </w:r>
            <w:r w:rsidR="00AB37CE" w:rsidRPr="00AB37CE">
              <w:rPr>
                <w:rFonts w:asciiTheme="minorHAnsi" w:hAnsiTheme="minorHAnsi" w:cstheme="minorHAnsi"/>
                <w:b/>
                <w:color w:val="000000" w:themeColor="text1"/>
                <w:szCs w:val="20"/>
              </w:rPr>
              <w:t>9</w:t>
            </w:r>
          </w:p>
        </w:tc>
        <w:tc>
          <w:tcPr>
            <w:tcW w:w="813" w:type="pct"/>
            <w:tcBorders>
              <w:left w:val="nil"/>
              <w:bottom w:val="single" w:sz="4" w:space="0" w:color="auto"/>
              <w:right w:val="nil"/>
            </w:tcBorders>
            <w:vAlign w:val="center"/>
          </w:tcPr>
          <w:p w14:paraId="52FFDF86" w14:textId="53CABFA6" w:rsidR="002D6E90" w:rsidRPr="00AB37CE" w:rsidRDefault="002D6E90" w:rsidP="002D6E90">
            <w:pPr>
              <w:jc w:val="right"/>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Коригування</w:t>
            </w:r>
          </w:p>
        </w:tc>
        <w:tc>
          <w:tcPr>
            <w:tcW w:w="937" w:type="pct"/>
            <w:tcBorders>
              <w:left w:val="nil"/>
              <w:bottom w:val="single" w:sz="4" w:space="0" w:color="auto"/>
              <w:right w:val="nil"/>
            </w:tcBorders>
            <w:shd w:val="clear" w:color="auto" w:fill="auto"/>
            <w:noWrap/>
            <w:vAlign w:val="center"/>
            <w:hideMark/>
          </w:tcPr>
          <w:p w14:paraId="7DC3EF4D" w14:textId="7C89680A" w:rsidR="002D6E90" w:rsidRPr="00AB37CE" w:rsidRDefault="002D6E90" w:rsidP="002D6E90">
            <w:pPr>
              <w:jc w:val="right"/>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31.12.201</w:t>
            </w:r>
            <w:r w:rsidR="00AB37CE" w:rsidRPr="00AB37CE">
              <w:rPr>
                <w:rFonts w:asciiTheme="minorHAnsi" w:hAnsiTheme="minorHAnsi" w:cstheme="minorHAnsi"/>
                <w:b/>
                <w:color w:val="000000" w:themeColor="text1"/>
                <w:szCs w:val="20"/>
              </w:rPr>
              <w:t>9</w:t>
            </w:r>
          </w:p>
          <w:p w14:paraId="60C05322" w14:textId="77777777" w:rsidR="002D6E90" w:rsidRPr="00AB37CE" w:rsidRDefault="002D6E90" w:rsidP="002D6E90">
            <w:pPr>
              <w:jc w:val="right"/>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(Перераховано)</w:t>
            </w:r>
          </w:p>
        </w:tc>
      </w:tr>
      <w:tr w:rsidR="002D6E90" w:rsidRPr="008756CD" w14:paraId="3CD6DE55" w14:textId="77777777" w:rsidTr="002D6E90">
        <w:trPr>
          <w:trHeight w:val="255"/>
        </w:trPr>
        <w:tc>
          <w:tcPr>
            <w:tcW w:w="1847" w:type="pct"/>
            <w:tcBorders>
              <w:left w:val="nil"/>
              <w:bottom w:val="nil"/>
              <w:right w:val="nil"/>
            </w:tcBorders>
            <w:shd w:val="clear" w:color="auto" w:fill="auto"/>
            <w:noWrap/>
            <w:vAlign w:val="center"/>
          </w:tcPr>
          <w:p w14:paraId="1258CBFE" w14:textId="77777777" w:rsidR="002D6E90" w:rsidRPr="00AB37CE" w:rsidRDefault="002D6E90" w:rsidP="002D6E90">
            <w:pPr>
              <w:jc w:val="left"/>
              <w:rPr>
                <w:rFonts w:asciiTheme="minorHAnsi" w:hAnsiTheme="minorHAnsi" w:cstheme="minorHAnsi"/>
                <w:color w:val="000000" w:themeColor="text1"/>
                <w:szCs w:val="20"/>
              </w:rPr>
            </w:pPr>
            <w:r w:rsidRPr="00AB37CE">
              <w:rPr>
                <w:rFonts w:asciiTheme="minorHAnsi" w:hAnsiTheme="minorHAnsi" w:cstheme="minorHAnsi"/>
                <w:color w:val="000000" w:themeColor="text1"/>
                <w:szCs w:val="20"/>
              </w:rPr>
              <w:t>Поточна кредиторська заборгованість за:</w:t>
            </w:r>
          </w:p>
          <w:p w14:paraId="15227491" w14:textId="73969661" w:rsidR="002D6E90" w:rsidRPr="00AB37CE" w:rsidRDefault="002D6E90" w:rsidP="002D6E90">
            <w:pPr>
              <w:pStyle w:val="af7"/>
              <w:spacing w:before="0" w:after="0"/>
              <w:jc w:val="left"/>
              <w:rPr>
                <w:rFonts w:asciiTheme="minorHAnsi" w:hAnsiTheme="minorHAnsi" w:cstheme="minorHAnsi"/>
                <w:color w:val="000000" w:themeColor="text1"/>
                <w:szCs w:val="20"/>
              </w:rPr>
            </w:pPr>
            <w:r w:rsidRPr="00AB37CE">
              <w:rPr>
                <w:rFonts w:asciiTheme="minorHAnsi" w:hAnsiTheme="minorHAnsi" w:cstheme="minorHAnsi"/>
                <w:color w:val="000000" w:themeColor="text1"/>
                <w:szCs w:val="20"/>
              </w:rPr>
              <w:t>товари, роботи, послуги</w:t>
            </w:r>
          </w:p>
        </w:tc>
        <w:tc>
          <w:tcPr>
            <w:tcW w:w="739" w:type="pct"/>
            <w:tcBorders>
              <w:left w:val="nil"/>
              <w:bottom w:val="nil"/>
              <w:right w:val="nil"/>
            </w:tcBorders>
            <w:vAlign w:val="bottom"/>
          </w:tcPr>
          <w:p w14:paraId="65DE9393" w14:textId="1D8CE608" w:rsidR="002D6E90" w:rsidRPr="00AB37CE" w:rsidRDefault="00AB37CE" w:rsidP="002D6E90">
            <w:pPr>
              <w:jc w:val="center"/>
              <w:rPr>
                <w:rFonts w:asciiTheme="minorHAnsi" w:hAnsiTheme="minorHAnsi" w:cstheme="minorHAnsi"/>
                <w:color w:val="000000" w:themeColor="text1"/>
                <w:szCs w:val="20"/>
              </w:rPr>
            </w:pPr>
            <w:r w:rsidRPr="00AB37CE">
              <w:rPr>
                <w:rFonts w:asciiTheme="minorHAnsi" w:hAnsiTheme="minorHAnsi" w:cstheme="minorHAnsi"/>
                <w:color w:val="000000" w:themeColor="text1"/>
                <w:szCs w:val="20"/>
              </w:rPr>
              <w:t>1</w:t>
            </w:r>
          </w:p>
        </w:tc>
        <w:tc>
          <w:tcPr>
            <w:tcW w:w="664" w:type="pct"/>
            <w:tcBorders>
              <w:left w:val="nil"/>
              <w:bottom w:val="nil"/>
              <w:right w:val="nil"/>
            </w:tcBorders>
            <w:vAlign w:val="bottom"/>
          </w:tcPr>
          <w:p w14:paraId="26D05162" w14:textId="72E2D5D4" w:rsidR="002D6E90" w:rsidRPr="00AB37CE" w:rsidRDefault="00AB37CE" w:rsidP="002D6E90">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lang w:val="ru-RU"/>
              </w:rPr>
              <w:t>107 578</w:t>
            </w:r>
          </w:p>
        </w:tc>
        <w:tc>
          <w:tcPr>
            <w:tcW w:w="813" w:type="pct"/>
            <w:tcBorders>
              <w:left w:val="nil"/>
              <w:bottom w:val="nil"/>
              <w:right w:val="nil"/>
            </w:tcBorders>
            <w:vAlign w:val="bottom"/>
          </w:tcPr>
          <w:p w14:paraId="20CEF46B" w14:textId="509D41A0" w:rsidR="002D6E90" w:rsidRPr="00AB37CE" w:rsidRDefault="00AB37CE" w:rsidP="002D6E90">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109</w:t>
            </w:r>
          </w:p>
        </w:tc>
        <w:tc>
          <w:tcPr>
            <w:tcW w:w="937" w:type="pct"/>
            <w:tcBorders>
              <w:left w:val="nil"/>
              <w:bottom w:val="nil"/>
              <w:right w:val="nil"/>
            </w:tcBorders>
            <w:shd w:val="clear" w:color="auto" w:fill="auto"/>
            <w:noWrap/>
            <w:vAlign w:val="bottom"/>
          </w:tcPr>
          <w:p w14:paraId="56274D8C" w14:textId="74956BAE" w:rsidR="002D6E90" w:rsidRPr="00AB37CE" w:rsidRDefault="00AB37CE" w:rsidP="002D6E90">
            <w:pPr>
              <w:jc w:val="right"/>
              <w:rPr>
                <w:rFonts w:asciiTheme="minorHAnsi" w:hAnsiTheme="minorHAnsi" w:cstheme="minorHAnsi"/>
                <w:bCs/>
                <w:color w:val="000000" w:themeColor="text1"/>
                <w:szCs w:val="20"/>
              </w:rPr>
            </w:pPr>
            <w:r>
              <w:rPr>
                <w:rFonts w:asciiTheme="minorHAnsi" w:hAnsiTheme="minorHAnsi" w:cstheme="minorHAnsi"/>
                <w:color w:val="000000" w:themeColor="text1"/>
                <w:szCs w:val="20"/>
                <w:lang w:val="ru-RU"/>
              </w:rPr>
              <w:t>107 687</w:t>
            </w:r>
          </w:p>
        </w:tc>
      </w:tr>
      <w:tr w:rsidR="002D6E90" w:rsidRPr="008756CD" w14:paraId="1830A7ED" w14:textId="77777777" w:rsidTr="002D6E90">
        <w:trPr>
          <w:trHeight w:val="255"/>
        </w:trPr>
        <w:tc>
          <w:tcPr>
            <w:tcW w:w="1847" w:type="pct"/>
            <w:tcBorders>
              <w:left w:val="nil"/>
              <w:bottom w:val="nil"/>
              <w:right w:val="nil"/>
            </w:tcBorders>
            <w:shd w:val="clear" w:color="auto" w:fill="auto"/>
            <w:noWrap/>
            <w:vAlign w:val="center"/>
          </w:tcPr>
          <w:p w14:paraId="0A113C45" w14:textId="0A3E711E" w:rsidR="002D6E90" w:rsidRPr="00AB37CE" w:rsidRDefault="002D6E90" w:rsidP="002D6E90">
            <w:pPr>
              <w:pStyle w:val="af7"/>
              <w:spacing w:before="0" w:after="0"/>
              <w:jc w:val="left"/>
              <w:rPr>
                <w:rFonts w:asciiTheme="minorHAnsi" w:hAnsiTheme="minorHAnsi" w:cstheme="minorHAnsi"/>
                <w:color w:val="000000" w:themeColor="text1"/>
                <w:szCs w:val="20"/>
              </w:rPr>
            </w:pPr>
            <w:r w:rsidRPr="00AB37CE">
              <w:rPr>
                <w:rFonts w:asciiTheme="minorHAnsi" w:hAnsiTheme="minorHAnsi" w:cstheme="minorHAnsi"/>
                <w:color w:val="000000" w:themeColor="text1"/>
                <w:szCs w:val="20"/>
              </w:rPr>
              <w:t>Інші поточні зобов'язання</w:t>
            </w:r>
          </w:p>
        </w:tc>
        <w:tc>
          <w:tcPr>
            <w:tcW w:w="739" w:type="pct"/>
            <w:tcBorders>
              <w:left w:val="nil"/>
              <w:bottom w:val="nil"/>
              <w:right w:val="nil"/>
            </w:tcBorders>
            <w:vAlign w:val="center"/>
          </w:tcPr>
          <w:p w14:paraId="5241CFF3" w14:textId="07B16BD0" w:rsidR="002D6E90" w:rsidRPr="00AB37CE" w:rsidRDefault="00AB37CE" w:rsidP="002D6E90">
            <w:pPr>
              <w:jc w:val="center"/>
              <w:rPr>
                <w:rFonts w:asciiTheme="minorHAnsi" w:hAnsiTheme="minorHAnsi" w:cstheme="minorHAnsi"/>
                <w:color w:val="000000" w:themeColor="text1"/>
                <w:szCs w:val="20"/>
              </w:rPr>
            </w:pPr>
            <w:r w:rsidRPr="00AB37CE">
              <w:rPr>
                <w:rFonts w:asciiTheme="minorHAnsi" w:hAnsiTheme="minorHAnsi" w:cstheme="minorHAnsi"/>
                <w:color w:val="000000" w:themeColor="text1"/>
                <w:szCs w:val="20"/>
              </w:rPr>
              <w:t>2</w:t>
            </w:r>
          </w:p>
        </w:tc>
        <w:tc>
          <w:tcPr>
            <w:tcW w:w="664" w:type="pct"/>
            <w:tcBorders>
              <w:left w:val="nil"/>
              <w:bottom w:val="nil"/>
              <w:right w:val="nil"/>
            </w:tcBorders>
            <w:vAlign w:val="center"/>
          </w:tcPr>
          <w:p w14:paraId="41D36F8C" w14:textId="144499F8" w:rsidR="002D6E90" w:rsidRPr="00AB37CE" w:rsidRDefault="00FA7A58" w:rsidP="002D6E90">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815 674</w:t>
            </w:r>
          </w:p>
        </w:tc>
        <w:tc>
          <w:tcPr>
            <w:tcW w:w="813" w:type="pct"/>
            <w:tcBorders>
              <w:left w:val="nil"/>
              <w:bottom w:val="nil"/>
              <w:right w:val="nil"/>
            </w:tcBorders>
            <w:vAlign w:val="center"/>
          </w:tcPr>
          <w:p w14:paraId="676B38A1" w14:textId="30F1C997" w:rsidR="002D6E90" w:rsidRPr="00AB37CE" w:rsidRDefault="00FA7A58" w:rsidP="002D6E90">
            <w:pPr>
              <w:jc w:val="right"/>
              <w:rPr>
                <w:rFonts w:asciiTheme="minorHAnsi" w:hAnsiTheme="minorHAnsi" w:cstheme="minorHAnsi"/>
                <w:color w:val="000000" w:themeColor="text1"/>
                <w:szCs w:val="20"/>
              </w:rPr>
            </w:pPr>
            <w:r>
              <w:rPr>
                <w:rFonts w:asciiTheme="minorHAnsi" w:hAnsiTheme="minorHAnsi" w:cstheme="minorHAnsi"/>
                <w:color w:val="000000" w:themeColor="text1"/>
                <w:szCs w:val="20"/>
              </w:rPr>
              <w:t>3</w:t>
            </w:r>
          </w:p>
        </w:tc>
        <w:tc>
          <w:tcPr>
            <w:tcW w:w="937" w:type="pct"/>
            <w:tcBorders>
              <w:left w:val="nil"/>
              <w:bottom w:val="nil"/>
              <w:right w:val="nil"/>
            </w:tcBorders>
            <w:shd w:val="clear" w:color="auto" w:fill="auto"/>
            <w:noWrap/>
            <w:vAlign w:val="center"/>
          </w:tcPr>
          <w:p w14:paraId="1CFC5AB6" w14:textId="5525E576" w:rsidR="002D6E90" w:rsidRPr="00AB37CE" w:rsidRDefault="00FA7A58" w:rsidP="002D6E90">
            <w:pPr>
              <w:jc w:val="right"/>
              <w:rPr>
                <w:rFonts w:asciiTheme="minorHAnsi" w:hAnsiTheme="minorHAnsi" w:cstheme="minorHAnsi"/>
                <w:bCs/>
                <w:color w:val="000000" w:themeColor="text1"/>
                <w:szCs w:val="20"/>
              </w:rPr>
            </w:pPr>
            <w:r>
              <w:rPr>
                <w:rFonts w:asciiTheme="minorHAnsi" w:hAnsiTheme="minorHAnsi" w:cstheme="minorHAnsi"/>
                <w:color w:val="000000" w:themeColor="text1"/>
                <w:szCs w:val="20"/>
              </w:rPr>
              <w:t>815 677</w:t>
            </w:r>
          </w:p>
        </w:tc>
      </w:tr>
      <w:tr w:rsidR="002D6E90" w:rsidRPr="008756CD" w14:paraId="79A95922" w14:textId="77777777" w:rsidTr="002D6E90">
        <w:trPr>
          <w:trHeight w:val="57"/>
        </w:trPr>
        <w:tc>
          <w:tcPr>
            <w:tcW w:w="1847" w:type="pct"/>
            <w:tcBorders>
              <w:top w:val="single" w:sz="4" w:space="0" w:color="auto"/>
              <w:left w:val="nil"/>
              <w:bottom w:val="single" w:sz="4" w:space="0" w:color="auto"/>
              <w:right w:val="nil"/>
            </w:tcBorders>
            <w:shd w:val="clear" w:color="auto" w:fill="auto"/>
            <w:noWrap/>
            <w:vAlign w:val="center"/>
            <w:hideMark/>
          </w:tcPr>
          <w:p w14:paraId="237B3A13" w14:textId="11D6A1B5" w:rsidR="002D6E90" w:rsidRPr="00AB37CE" w:rsidRDefault="002D6E90" w:rsidP="002D6E90">
            <w:pPr>
              <w:pStyle w:val="af7"/>
              <w:spacing w:before="0" w:after="0"/>
              <w:jc w:val="left"/>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Нерозподілений прибуток (непокритий збиток)</w:t>
            </w:r>
          </w:p>
        </w:tc>
        <w:tc>
          <w:tcPr>
            <w:tcW w:w="739" w:type="pct"/>
            <w:tcBorders>
              <w:top w:val="single" w:sz="4" w:space="0" w:color="auto"/>
              <w:left w:val="nil"/>
              <w:bottom w:val="single" w:sz="4" w:space="0" w:color="auto"/>
              <w:right w:val="nil"/>
            </w:tcBorders>
            <w:vAlign w:val="center"/>
          </w:tcPr>
          <w:p w14:paraId="0AB440A4" w14:textId="544DF9FD" w:rsidR="002D6E90" w:rsidRPr="00AB37CE" w:rsidRDefault="002D6E90" w:rsidP="002D6E90">
            <w:pPr>
              <w:jc w:val="center"/>
              <w:rPr>
                <w:rFonts w:asciiTheme="minorHAnsi" w:hAnsiTheme="minorHAnsi" w:cstheme="minorHAnsi"/>
                <w:b/>
                <w:color w:val="000000" w:themeColor="text1"/>
                <w:szCs w:val="20"/>
              </w:rPr>
            </w:pPr>
          </w:p>
        </w:tc>
        <w:tc>
          <w:tcPr>
            <w:tcW w:w="664" w:type="pct"/>
            <w:tcBorders>
              <w:top w:val="single" w:sz="4" w:space="0" w:color="auto"/>
              <w:left w:val="nil"/>
              <w:bottom w:val="single" w:sz="4" w:space="0" w:color="auto"/>
              <w:right w:val="nil"/>
            </w:tcBorders>
            <w:vAlign w:val="center"/>
          </w:tcPr>
          <w:p w14:paraId="496FB528" w14:textId="503E87BF" w:rsidR="002D6E90" w:rsidRPr="00AB37CE" w:rsidRDefault="00AB37CE" w:rsidP="002D6E90">
            <w:pPr>
              <w:jc w:val="right"/>
              <w:rPr>
                <w:rFonts w:asciiTheme="minorHAnsi" w:hAnsiTheme="minorHAnsi" w:cstheme="minorHAnsi"/>
                <w:b/>
                <w:color w:val="000000" w:themeColor="text1"/>
                <w:szCs w:val="20"/>
                <w:lang w:val="ru-RU"/>
              </w:rPr>
            </w:pPr>
            <w:r w:rsidRPr="00AB37CE">
              <w:rPr>
                <w:rFonts w:asciiTheme="minorHAnsi" w:hAnsiTheme="minorHAnsi" w:cstheme="minorHAnsi"/>
                <w:b/>
                <w:color w:val="000000" w:themeColor="text1"/>
                <w:szCs w:val="20"/>
              </w:rPr>
              <w:t>593 023</w:t>
            </w:r>
          </w:p>
        </w:tc>
        <w:tc>
          <w:tcPr>
            <w:tcW w:w="813" w:type="pct"/>
            <w:tcBorders>
              <w:top w:val="single" w:sz="4" w:space="0" w:color="auto"/>
              <w:left w:val="nil"/>
              <w:bottom w:val="single" w:sz="4" w:space="0" w:color="auto"/>
              <w:right w:val="nil"/>
            </w:tcBorders>
            <w:vAlign w:val="center"/>
          </w:tcPr>
          <w:p w14:paraId="69AE02E9" w14:textId="6FB4ED63" w:rsidR="002D6E90" w:rsidRPr="00AB37CE" w:rsidRDefault="00AB37CE" w:rsidP="002D6E90">
            <w:pPr>
              <w:jc w:val="right"/>
              <w:rPr>
                <w:rFonts w:asciiTheme="minorHAnsi" w:hAnsiTheme="minorHAnsi" w:cstheme="minorHAnsi"/>
                <w:b/>
                <w:color w:val="000000" w:themeColor="text1"/>
                <w:szCs w:val="20"/>
              </w:rPr>
            </w:pPr>
            <w:r w:rsidRPr="00AB37CE">
              <w:rPr>
                <w:rFonts w:asciiTheme="minorHAnsi" w:hAnsiTheme="minorHAnsi" w:cstheme="minorHAnsi"/>
                <w:b/>
                <w:color w:val="000000" w:themeColor="text1"/>
                <w:szCs w:val="20"/>
              </w:rPr>
              <w:t>(112)</w:t>
            </w:r>
          </w:p>
        </w:tc>
        <w:tc>
          <w:tcPr>
            <w:tcW w:w="937" w:type="pct"/>
            <w:tcBorders>
              <w:top w:val="single" w:sz="4" w:space="0" w:color="auto"/>
              <w:left w:val="nil"/>
              <w:bottom w:val="single" w:sz="4" w:space="0" w:color="auto"/>
              <w:right w:val="nil"/>
            </w:tcBorders>
            <w:shd w:val="clear" w:color="auto" w:fill="auto"/>
            <w:noWrap/>
            <w:vAlign w:val="center"/>
          </w:tcPr>
          <w:p w14:paraId="5D859998" w14:textId="6593FD67" w:rsidR="002D6E90" w:rsidRPr="00AB37CE" w:rsidRDefault="00AB37CE" w:rsidP="002D6E90">
            <w:pPr>
              <w:jc w:val="right"/>
              <w:rPr>
                <w:rFonts w:asciiTheme="minorHAnsi" w:hAnsiTheme="minorHAnsi" w:cstheme="minorHAnsi"/>
                <w:b/>
                <w:color w:val="000000" w:themeColor="text1"/>
                <w:szCs w:val="20"/>
                <w:lang w:val="ru-RU"/>
              </w:rPr>
            </w:pPr>
            <w:r w:rsidRPr="00AB37CE">
              <w:rPr>
                <w:rFonts w:asciiTheme="minorHAnsi" w:hAnsiTheme="minorHAnsi" w:cstheme="minorHAnsi"/>
                <w:b/>
                <w:color w:val="000000" w:themeColor="text1"/>
                <w:szCs w:val="20"/>
              </w:rPr>
              <w:t>592 911</w:t>
            </w:r>
          </w:p>
        </w:tc>
      </w:tr>
    </w:tbl>
    <w:p w14:paraId="7D5E30D4" w14:textId="214E2FA2" w:rsidR="00CF093A" w:rsidRPr="00744662" w:rsidRDefault="004B4A27" w:rsidP="00C432FC">
      <w:pPr>
        <w:pStyle w:val="af7"/>
        <w:rPr>
          <w:color w:val="000000" w:themeColor="text1"/>
        </w:rPr>
      </w:pPr>
      <w:r w:rsidRPr="00744662">
        <w:rPr>
          <w:color w:val="000000" w:themeColor="text1"/>
        </w:rPr>
        <w:t>Коригування пов’язані з наступними подіями:</w:t>
      </w:r>
    </w:p>
    <w:p w14:paraId="640CA7A4" w14:textId="768FD6AB" w:rsidR="00D67318" w:rsidRPr="004966B1" w:rsidRDefault="00D67318" w:rsidP="00D67318">
      <w:pPr>
        <w:numPr>
          <w:ilvl w:val="0"/>
          <w:numId w:val="5"/>
        </w:numPr>
        <w:tabs>
          <w:tab w:val="left" w:pos="284"/>
        </w:tabs>
        <w:spacing w:before="120" w:after="120"/>
        <w:ind w:left="0" w:firstLine="0"/>
        <w:rPr>
          <w:rFonts w:asciiTheme="minorHAnsi" w:hAnsiTheme="minorHAnsi" w:cstheme="minorHAnsi"/>
          <w:color w:val="000000" w:themeColor="text1"/>
          <w:szCs w:val="20"/>
        </w:rPr>
      </w:pPr>
      <w:r>
        <w:rPr>
          <w:color w:val="auto"/>
        </w:rPr>
        <w:t xml:space="preserve">Станом на 31.12.2019 </w:t>
      </w:r>
      <w:r w:rsidRPr="00744662">
        <w:rPr>
          <w:color w:val="auto"/>
        </w:rPr>
        <w:t xml:space="preserve">Компанія здійснила коригування торговельної поточної кредиторської заборгованості за товари, роботи, послуги з вітчизняними та іноземними </w:t>
      </w:r>
      <w:r>
        <w:rPr>
          <w:color w:val="auto"/>
        </w:rPr>
        <w:t xml:space="preserve">постачальниками за рахунок проведення в  </w:t>
      </w:r>
      <w:r w:rsidRPr="00D67318">
        <w:rPr>
          <w:rFonts w:asciiTheme="minorHAnsi" w:hAnsiTheme="minorHAnsi" w:cstheme="minorHAnsi"/>
          <w:color w:val="000000" w:themeColor="text1"/>
          <w:szCs w:val="20"/>
        </w:rPr>
        <w:t>обліку документ</w:t>
      </w:r>
      <w:r>
        <w:rPr>
          <w:rFonts w:asciiTheme="minorHAnsi" w:hAnsiTheme="minorHAnsi" w:cstheme="minorHAnsi"/>
          <w:color w:val="000000" w:themeColor="text1"/>
          <w:szCs w:val="20"/>
        </w:rPr>
        <w:t>ів</w:t>
      </w:r>
      <w:r w:rsidRPr="00D67318">
        <w:rPr>
          <w:rFonts w:asciiTheme="minorHAnsi" w:hAnsiTheme="minorHAnsi" w:cstheme="minorHAnsi"/>
          <w:color w:val="000000" w:themeColor="text1"/>
          <w:szCs w:val="20"/>
        </w:rPr>
        <w:t xml:space="preserve"> за 2019</w:t>
      </w:r>
      <w:r w:rsidRPr="004966B1">
        <w:rPr>
          <w:rFonts w:asciiTheme="minorHAnsi" w:hAnsiTheme="minorHAnsi" w:cstheme="minorHAnsi"/>
          <w:color w:val="000000" w:themeColor="text1"/>
          <w:szCs w:val="20"/>
        </w:rPr>
        <w:t xml:space="preserve"> рік по </w:t>
      </w:r>
      <w:r>
        <w:rPr>
          <w:rFonts w:asciiTheme="minorHAnsi" w:hAnsiTheme="minorHAnsi" w:cstheme="minorHAnsi"/>
          <w:color w:val="000000" w:themeColor="text1"/>
          <w:szCs w:val="20"/>
        </w:rPr>
        <w:t>послугах автоперевезення, досліджень, митних послуг</w:t>
      </w:r>
      <w:r w:rsidRPr="004966B1">
        <w:rPr>
          <w:rFonts w:asciiTheme="minorHAnsi" w:hAnsiTheme="minorHAnsi" w:cstheme="minorHAnsi"/>
          <w:color w:val="000000" w:themeColor="text1"/>
          <w:szCs w:val="20"/>
        </w:rPr>
        <w:t xml:space="preserve">, </w:t>
      </w:r>
      <w:r>
        <w:rPr>
          <w:rFonts w:asciiTheme="minorHAnsi" w:hAnsiTheme="minorHAnsi" w:cstheme="minorHAnsi"/>
          <w:color w:val="000000" w:themeColor="text1"/>
          <w:szCs w:val="20"/>
        </w:rPr>
        <w:t>послугах ремонту обладнання.</w:t>
      </w:r>
      <w:r w:rsidRPr="004966B1">
        <w:rPr>
          <w:rFonts w:asciiTheme="minorHAnsi" w:hAnsiTheme="minorHAnsi" w:cstheme="minorHAnsi"/>
          <w:color w:val="000000" w:themeColor="text1"/>
          <w:szCs w:val="20"/>
        </w:rPr>
        <w:t xml:space="preserve"> За рахунок цього нерозподілений прибуток зменшився на </w:t>
      </w:r>
      <w:r w:rsidR="00B80DA9">
        <w:rPr>
          <w:rFonts w:asciiTheme="minorHAnsi" w:hAnsiTheme="minorHAnsi" w:cstheme="minorHAnsi"/>
          <w:color w:val="000000" w:themeColor="text1"/>
          <w:szCs w:val="20"/>
        </w:rPr>
        <w:t>1</w:t>
      </w:r>
      <w:r w:rsidRPr="004966B1">
        <w:rPr>
          <w:rFonts w:asciiTheme="minorHAnsi" w:hAnsiTheme="minorHAnsi" w:cstheme="minorHAnsi"/>
          <w:color w:val="000000" w:themeColor="text1"/>
          <w:szCs w:val="20"/>
        </w:rPr>
        <w:t>0</w:t>
      </w:r>
      <w:r>
        <w:rPr>
          <w:rFonts w:asciiTheme="minorHAnsi" w:hAnsiTheme="minorHAnsi" w:cstheme="minorHAnsi"/>
          <w:color w:val="000000" w:themeColor="text1"/>
          <w:szCs w:val="20"/>
        </w:rPr>
        <w:t>9</w:t>
      </w:r>
      <w:r w:rsidRPr="004966B1">
        <w:rPr>
          <w:rFonts w:asciiTheme="minorHAnsi" w:hAnsiTheme="minorHAnsi" w:cstheme="minorHAnsi"/>
          <w:color w:val="000000" w:themeColor="text1"/>
          <w:szCs w:val="20"/>
        </w:rPr>
        <w:t xml:space="preserve"> тис. грн. (Пояснення 1);</w:t>
      </w:r>
    </w:p>
    <w:p w14:paraId="562B422B" w14:textId="001A6956" w:rsidR="00FC34C0" w:rsidRPr="00F55222" w:rsidRDefault="00D67318" w:rsidP="00F55222">
      <w:pPr>
        <w:numPr>
          <w:ilvl w:val="0"/>
          <w:numId w:val="5"/>
        </w:numPr>
        <w:tabs>
          <w:tab w:val="left" w:pos="284"/>
        </w:tabs>
        <w:spacing w:before="120" w:after="120"/>
        <w:ind w:left="0" w:firstLine="0"/>
        <w:rPr>
          <w:rFonts w:asciiTheme="minorHAnsi" w:hAnsiTheme="minorHAnsi" w:cstheme="minorHAnsi"/>
          <w:color w:val="000000" w:themeColor="text1"/>
          <w:szCs w:val="20"/>
        </w:rPr>
      </w:pPr>
      <w:r>
        <w:rPr>
          <w:color w:val="auto"/>
        </w:rPr>
        <w:t xml:space="preserve">Станом на 31.12.2019 </w:t>
      </w:r>
      <w:r w:rsidRPr="00744662">
        <w:rPr>
          <w:color w:val="auto"/>
        </w:rPr>
        <w:t xml:space="preserve">Компанія здійснила коригування </w:t>
      </w:r>
      <w:r>
        <w:rPr>
          <w:color w:val="auto"/>
        </w:rPr>
        <w:t>іншої</w:t>
      </w:r>
      <w:r w:rsidRPr="00744662">
        <w:rPr>
          <w:color w:val="auto"/>
        </w:rPr>
        <w:t xml:space="preserve"> поточної кредиторської заборгованості </w:t>
      </w:r>
      <w:r>
        <w:rPr>
          <w:color w:val="auto"/>
        </w:rPr>
        <w:t xml:space="preserve">за рахунок проведення в  </w:t>
      </w:r>
      <w:r w:rsidRPr="00D67318">
        <w:rPr>
          <w:rFonts w:asciiTheme="minorHAnsi" w:hAnsiTheme="minorHAnsi" w:cstheme="minorHAnsi"/>
          <w:color w:val="000000" w:themeColor="text1"/>
          <w:szCs w:val="20"/>
        </w:rPr>
        <w:t>обліку документ</w:t>
      </w:r>
      <w:r>
        <w:rPr>
          <w:rFonts w:asciiTheme="minorHAnsi" w:hAnsiTheme="minorHAnsi" w:cstheme="minorHAnsi"/>
          <w:color w:val="000000" w:themeColor="text1"/>
          <w:szCs w:val="20"/>
        </w:rPr>
        <w:t>ів</w:t>
      </w:r>
      <w:r w:rsidRPr="00D67318">
        <w:rPr>
          <w:rFonts w:asciiTheme="minorHAnsi" w:hAnsiTheme="minorHAnsi" w:cstheme="minorHAnsi"/>
          <w:color w:val="000000" w:themeColor="text1"/>
          <w:szCs w:val="20"/>
        </w:rPr>
        <w:t xml:space="preserve"> за 2019</w:t>
      </w:r>
      <w:r w:rsidRPr="004966B1">
        <w:rPr>
          <w:rFonts w:asciiTheme="minorHAnsi" w:hAnsiTheme="minorHAnsi" w:cstheme="minorHAnsi"/>
          <w:color w:val="000000" w:themeColor="text1"/>
          <w:szCs w:val="20"/>
        </w:rPr>
        <w:t xml:space="preserve"> рік</w:t>
      </w:r>
      <w:r>
        <w:rPr>
          <w:rFonts w:asciiTheme="minorHAnsi" w:hAnsiTheme="minorHAnsi" w:cstheme="minorHAnsi"/>
          <w:color w:val="000000" w:themeColor="text1"/>
          <w:szCs w:val="20"/>
        </w:rPr>
        <w:t xml:space="preserve"> по послугах митниці та страхуванню робітників</w:t>
      </w:r>
      <w:r w:rsidRPr="004966B1">
        <w:rPr>
          <w:rFonts w:asciiTheme="minorHAnsi" w:hAnsiTheme="minorHAnsi" w:cstheme="minorHAnsi"/>
          <w:color w:val="000000" w:themeColor="text1"/>
          <w:szCs w:val="20"/>
        </w:rPr>
        <w:t xml:space="preserve">. За рахунок цього нерозподілений прибуток зменшився на </w:t>
      </w:r>
      <w:r>
        <w:rPr>
          <w:rFonts w:asciiTheme="minorHAnsi" w:hAnsiTheme="minorHAnsi" w:cstheme="minorHAnsi"/>
          <w:color w:val="000000" w:themeColor="text1"/>
          <w:szCs w:val="20"/>
        </w:rPr>
        <w:t>3</w:t>
      </w:r>
      <w:r w:rsidRPr="004966B1">
        <w:rPr>
          <w:rFonts w:asciiTheme="minorHAnsi" w:hAnsiTheme="minorHAnsi" w:cstheme="minorHAnsi"/>
          <w:color w:val="000000" w:themeColor="text1"/>
          <w:szCs w:val="20"/>
        </w:rPr>
        <w:t xml:space="preserve"> тис. грн. (Пояснення 2).</w:t>
      </w:r>
    </w:p>
    <w:p w14:paraId="47B3B95B" w14:textId="3C10605A" w:rsidR="00D7008C" w:rsidRPr="00FA7A58" w:rsidRDefault="00EE258E" w:rsidP="0065373B">
      <w:pPr>
        <w:pStyle w:val="1"/>
        <w:rPr>
          <w:color w:val="000000" w:themeColor="text1"/>
          <w:szCs w:val="20"/>
        </w:rPr>
      </w:pPr>
      <w:bookmarkStart w:id="144" w:name="_Toc475007917"/>
      <w:bookmarkStart w:id="145" w:name="_Toc475522364"/>
      <w:bookmarkStart w:id="146" w:name="_Toc68253980"/>
      <w:r w:rsidRPr="00FA7A58">
        <w:rPr>
          <w:color w:val="000000" w:themeColor="text1"/>
          <w:szCs w:val="20"/>
        </w:rPr>
        <w:t>Управління ризиками</w:t>
      </w:r>
      <w:bookmarkEnd w:id="144"/>
      <w:bookmarkEnd w:id="145"/>
      <w:bookmarkEnd w:id="146"/>
    </w:p>
    <w:p w14:paraId="54DAB006" w14:textId="77777777" w:rsidR="00D7008C" w:rsidRPr="00FA7A58" w:rsidRDefault="00D7008C" w:rsidP="00D7008C">
      <w:pPr>
        <w:spacing w:before="120" w:after="120"/>
        <w:ind w:right="10"/>
        <w:rPr>
          <w:color w:val="000000" w:themeColor="text1"/>
          <w:szCs w:val="20"/>
        </w:rPr>
      </w:pPr>
      <w:r w:rsidRPr="00FA7A58">
        <w:rPr>
          <w:color w:val="000000" w:themeColor="text1"/>
          <w:szCs w:val="20"/>
        </w:rPr>
        <w:t>На Компанію здійснюють вплив ризик держави, ризик податкової системи, кредитний ризик, ризик ліквідності, ринковий ризик (включно з валютним ризиком та ризиком процентної ставки) та ризик управління капіталом, що витікає з наявності у Компанії фінансових інструментів. У цих примітках надається інформація відносно впливу на Компанію кожного з вищезазначених ризиків, цілі Компанії, її політику та процедури відносно виміру та управління цими ризиками.</w:t>
      </w:r>
    </w:p>
    <w:p w14:paraId="649FB975" w14:textId="77777777" w:rsidR="00D7008C" w:rsidRPr="00FA7A58" w:rsidRDefault="00D7008C" w:rsidP="00E55F68">
      <w:pPr>
        <w:spacing w:before="120" w:after="120"/>
        <w:ind w:right="10"/>
        <w:rPr>
          <w:color w:val="000000" w:themeColor="text1"/>
          <w:szCs w:val="20"/>
        </w:rPr>
      </w:pPr>
      <w:r w:rsidRPr="00FA7A58">
        <w:rPr>
          <w:color w:val="000000" w:themeColor="text1"/>
          <w:szCs w:val="20"/>
        </w:rPr>
        <w:t>Додаткові пояснення щодо кількісної інформації наведені в інших частинах цієї фінансової звітності, а саме:</w:t>
      </w:r>
    </w:p>
    <w:p w14:paraId="5E9AB131" w14:textId="55C75213" w:rsidR="00D7008C" w:rsidRPr="00FA7A58" w:rsidRDefault="00D7008C" w:rsidP="003A7D0C">
      <w:pPr>
        <w:numPr>
          <w:ilvl w:val="0"/>
          <w:numId w:val="4"/>
        </w:numPr>
        <w:tabs>
          <w:tab w:val="num" w:pos="285"/>
        </w:tabs>
        <w:ind w:left="0" w:right="11" w:firstLine="0"/>
        <w:rPr>
          <w:color w:val="000000" w:themeColor="text1"/>
          <w:szCs w:val="20"/>
        </w:rPr>
      </w:pPr>
      <w:r w:rsidRPr="00FA7A58">
        <w:rPr>
          <w:color w:val="000000" w:themeColor="text1"/>
          <w:szCs w:val="20"/>
        </w:rPr>
        <w:t>інформація про доходи т</w:t>
      </w:r>
      <w:r w:rsidR="0065373B" w:rsidRPr="00FA7A58">
        <w:rPr>
          <w:color w:val="000000" w:themeColor="text1"/>
          <w:szCs w:val="20"/>
        </w:rPr>
        <w:t xml:space="preserve">а витрати наведена у Примітках </w:t>
      </w:r>
      <w:r w:rsidR="009B5D75" w:rsidRPr="00FA7A58">
        <w:rPr>
          <w:color w:val="000000" w:themeColor="text1"/>
          <w:szCs w:val="20"/>
        </w:rPr>
        <w:t>6, 7</w:t>
      </w:r>
      <w:r w:rsidRPr="00FA7A58">
        <w:rPr>
          <w:color w:val="000000" w:themeColor="text1"/>
          <w:szCs w:val="20"/>
        </w:rPr>
        <w:t>;</w:t>
      </w:r>
    </w:p>
    <w:p w14:paraId="6F8C9005" w14:textId="626DEC67" w:rsidR="00D7008C" w:rsidRPr="00FA7A58" w:rsidRDefault="00D7008C" w:rsidP="003A7D0C">
      <w:pPr>
        <w:numPr>
          <w:ilvl w:val="0"/>
          <w:numId w:val="4"/>
        </w:numPr>
        <w:tabs>
          <w:tab w:val="num" w:pos="285"/>
        </w:tabs>
        <w:ind w:right="11" w:hanging="720"/>
        <w:rPr>
          <w:color w:val="000000" w:themeColor="text1"/>
          <w:szCs w:val="20"/>
        </w:rPr>
      </w:pPr>
      <w:r w:rsidRPr="00FA7A58">
        <w:rPr>
          <w:color w:val="000000" w:themeColor="text1"/>
          <w:szCs w:val="20"/>
        </w:rPr>
        <w:t xml:space="preserve">інформація відносно грошових коштів розкрита у Примітці </w:t>
      </w:r>
      <w:r w:rsidR="0065373B" w:rsidRPr="00FA7A58">
        <w:rPr>
          <w:color w:val="000000" w:themeColor="text1"/>
          <w:szCs w:val="20"/>
        </w:rPr>
        <w:t>1</w:t>
      </w:r>
      <w:r w:rsidR="006E5BF2" w:rsidRPr="00FA7A58">
        <w:rPr>
          <w:color w:val="000000" w:themeColor="text1"/>
          <w:szCs w:val="20"/>
          <w:lang w:val="ru-RU"/>
        </w:rPr>
        <w:t>5</w:t>
      </w:r>
      <w:r w:rsidRPr="00FA7A58">
        <w:rPr>
          <w:color w:val="000000" w:themeColor="text1"/>
          <w:szCs w:val="20"/>
        </w:rPr>
        <w:t>;</w:t>
      </w:r>
    </w:p>
    <w:p w14:paraId="7E7E0D3E" w14:textId="64235650" w:rsidR="00D7008C" w:rsidRPr="00FA7A58" w:rsidRDefault="00D7008C" w:rsidP="003A7D0C">
      <w:pPr>
        <w:numPr>
          <w:ilvl w:val="0"/>
          <w:numId w:val="4"/>
        </w:numPr>
        <w:tabs>
          <w:tab w:val="num" w:pos="285"/>
        </w:tabs>
        <w:ind w:right="11" w:hanging="720"/>
        <w:rPr>
          <w:color w:val="000000" w:themeColor="text1"/>
          <w:szCs w:val="20"/>
        </w:rPr>
      </w:pPr>
      <w:r w:rsidRPr="00FA7A58">
        <w:rPr>
          <w:color w:val="000000" w:themeColor="text1"/>
          <w:szCs w:val="20"/>
        </w:rPr>
        <w:t>інформація про торговельну та іншу дебіторську заборгованість розкрита у Примітці 1</w:t>
      </w:r>
      <w:r w:rsidR="009B5D75" w:rsidRPr="00FA7A58">
        <w:rPr>
          <w:color w:val="000000" w:themeColor="text1"/>
          <w:szCs w:val="20"/>
        </w:rPr>
        <w:t>4</w:t>
      </w:r>
      <w:r w:rsidRPr="00FA7A58">
        <w:rPr>
          <w:color w:val="000000" w:themeColor="text1"/>
          <w:szCs w:val="20"/>
        </w:rPr>
        <w:t>;</w:t>
      </w:r>
    </w:p>
    <w:p w14:paraId="44CF066C" w14:textId="6E92BEC1" w:rsidR="00D7008C" w:rsidRPr="00FA7A58" w:rsidRDefault="00D7008C" w:rsidP="003A7D0C">
      <w:pPr>
        <w:numPr>
          <w:ilvl w:val="0"/>
          <w:numId w:val="4"/>
        </w:numPr>
        <w:tabs>
          <w:tab w:val="num" w:pos="285"/>
        </w:tabs>
        <w:ind w:right="11" w:hanging="720"/>
        <w:rPr>
          <w:color w:val="000000" w:themeColor="text1"/>
          <w:szCs w:val="20"/>
        </w:rPr>
      </w:pPr>
      <w:r w:rsidRPr="00FA7A58">
        <w:rPr>
          <w:color w:val="000000" w:themeColor="text1"/>
          <w:szCs w:val="20"/>
        </w:rPr>
        <w:t xml:space="preserve">інформація про торговельну та іншу кредиторську заборгованість розкрита у Примітці </w:t>
      </w:r>
      <w:r w:rsidR="006E5BF2" w:rsidRPr="00FA7A58">
        <w:rPr>
          <w:color w:val="000000" w:themeColor="text1"/>
          <w:szCs w:val="20"/>
        </w:rPr>
        <w:t>20</w:t>
      </w:r>
      <w:r w:rsidRPr="00FA7A58">
        <w:rPr>
          <w:color w:val="000000" w:themeColor="text1"/>
          <w:szCs w:val="20"/>
        </w:rPr>
        <w:t>.</w:t>
      </w:r>
    </w:p>
    <w:p w14:paraId="553643A9" w14:textId="77777777" w:rsidR="00D7008C" w:rsidRPr="00FA7A58" w:rsidRDefault="00D7008C" w:rsidP="00D7008C">
      <w:pPr>
        <w:shd w:val="clear" w:color="auto" w:fill="FFFFFF"/>
        <w:spacing w:before="120" w:after="120"/>
        <w:ind w:right="10"/>
        <w:rPr>
          <w:color w:val="000000" w:themeColor="text1"/>
          <w:szCs w:val="20"/>
        </w:rPr>
      </w:pPr>
      <w:r w:rsidRPr="00FA7A58">
        <w:rPr>
          <w:color w:val="000000" w:themeColor="text1"/>
          <w:szCs w:val="20"/>
        </w:rPr>
        <w:t>Керівництво Компанії проводить активний контроль фінансових та ринкових ризиків, та приймає у разі необхідності, відповідні заходи.</w:t>
      </w:r>
    </w:p>
    <w:p w14:paraId="1DCE8FDA" w14:textId="77777777" w:rsidR="00D7008C" w:rsidRPr="00FA7A58" w:rsidRDefault="00D7008C" w:rsidP="003A7D0C">
      <w:pPr>
        <w:numPr>
          <w:ilvl w:val="1"/>
          <w:numId w:val="2"/>
        </w:numPr>
        <w:shd w:val="clear" w:color="auto" w:fill="FFFFFF"/>
        <w:tabs>
          <w:tab w:val="left" w:pos="284"/>
        </w:tabs>
        <w:spacing w:before="240" w:after="120"/>
        <w:ind w:left="0" w:right="11" w:firstLine="0"/>
        <w:rPr>
          <w:rFonts w:asciiTheme="minorHAnsi" w:hAnsiTheme="minorHAnsi" w:cstheme="minorHAnsi"/>
          <w:b/>
          <w:bCs/>
          <w:iCs/>
          <w:color w:val="000000" w:themeColor="text1"/>
          <w:szCs w:val="20"/>
          <w:lang w:eastAsia="uk-UA"/>
        </w:rPr>
      </w:pPr>
      <w:r w:rsidRPr="00FA7A58">
        <w:rPr>
          <w:rFonts w:asciiTheme="minorHAnsi" w:hAnsiTheme="minorHAnsi" w:cstheme="minorHAnsi"/>
          <w:b/>
          <w:bCs/>
          <w:iCs/>
          <w:color w:val="000000" w:themeColor="text1"/>
          <w:szCs w:val="20"/>
          <w:lang w:eastAsia="uk-UA"/>
        </w:rPr>
        <w:t>Ризик геополітичного середовища</w:t>
      </w:r>
    </w:p>
    <w:p w14:paraId="18714F6D" w14:textId="77777777" w:rsidR="00D7008C" w:rsidRPr="00FA7A58" w:rsidRDefault="00D7008C" w:rsidP="00D7008C">
      <w:pPr>
        <w:rPr>
          <w:bCs/>
          <w:iCs/>
          <w:color w:val="000000" w:themeColor="text1"/>
          <w:szCs w:val="20"/>
          <w:lang w:eastAsia="uk-UA"/>
        </w:rPr>
      </w:pPr>
      <w:r w:rsidRPr="00FA7A58">
        <w:rPr>
          <w:bCs/>
          <w:iCs/>
          <w:color w:val="000000" w:themeColor="text1"/>
          <w:szCs w:val="20"/>
          <w:lang w:eastAsia="uk-UA"/>
        </w:rPr>
        <w:t>Україна пережила політичні та економічні зміни, що вплинули, і можуть продовжувати впливати на діяльність Компанії в цьому середовищі. У даний час Україна переживає період великих проблем, але в разі успішного їхнього подолання, країна може зайняти набагато вигідніше становище, ніж раніше. Велике поєднання природних, інтелектуальних, людських і виробничих ресурсів разом з ефективним і компетентним урядом відкриває багато нових можливостей для розвитку країни на геополітичній арені, що постійно змінюється. Отже, перспективи для майбутньої економічної стабільності в Україні істотно залежать від ефективності економічних заходів і реформ, що проводяться спільно з правовим, нормативним та політичним розвитком, які знаходяться поза контролем Компанії. Ця фінансова звітність відображає поточну оцінку керівництва можливого впливу українського бізнес-середовища на діяльність Компанії та її фінансове становище, хоча і майбутні умови господарювання можуть відрізнятися від оцінки керівництва.</w:t>
      </w:r>
    </w:p>
    <w:p w14:paraId="4E00C909" w14:textId="77777777" w:rsidR="00D7008C" w:rsidRPr="00FA7A58" w:rsidRDefault="00D7008C" w:rsidP="003A7D0C">
      <w:pPr>
        <w:numPr>
          <w:ilvl w:val="1"/>
          <w:numId w:val="2"/>
        </w:numPr>
        <w:tabs>
          <w:tab w:val="left" w:pos="284"/>
          <w:tab w:val="left" w:pos="567"/>
        </w:tabs>
        <w:spacing w:before="240" w:after="120"/>
        <w:ind w:left="0" w:firstLine="0"/>
        <w:rPr>
          <w:rFonts w:asciiTheme="minorHAnsi" w:hAnsiTheme="minorHAnsi" w:cstheme="minorHAnsi"/>
          <w:b/>
          <w:bCs/>
          <w:iCs/>
          <w:color w:val="000000" w:themeColor="text1"/>
          <w:szCs w:val="20"/>
          <w:lang w:eastAsia="uk-UA"/>
        </w:rPr>
      </w:pPr>
      <w:r w:rsidRPr="00FA7A58">
        <w:rPr>
          <w:rFonts w:asciiTheme="minorHAnsi" w:hAnsiTheme="minorHAnsi" w:cstheme="minorHAnsi"/>
          <w:b/>
          <w:bCs/>
          <w:iCs/>
          <w:color w:val="000000" w:themeColor="text1"/>
          <w:szCs w:val="20"/>
          <w:lang w:eastAsia="uk-UA"/>
        </w:rPr>
        <w:t>Ризики податкової системи України</w:t>
      </w:r>
    </w:p>
    <w:p w14:paraId="0F2D4034" w14:textId="77777777" w:rsidR="00D7008C" w:rsidRPr="00FA7A58" w:rsidRDefault="00D7008C" w:rsidP="00D7008C">
      <w:pPr>
        <w:tabs>
          <w:tab w:val="left" w:pos="567"/>
        </w:tabs>
        <w:spacing w:before="120" w:after="120"/>
        <w:ind w:right="10"/>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lastRenderedPageBreak/>
        <w:t>В Україні основним документом, що регулює різні податки, встановлені як центральними, так і місцевими органами влади, є Податковий Кодекс України. Такі податки включають податок на додану вартість, податок на прибуток, податок з доходів фізичних осіб та інші податки.</w:t>
      </w:r>
    </w:p>
    <w:p w14:paraId="5604CDE0" w14:textId="680D0C9D" w:rsidR="00D7008C" w:rsidRPr="00FA7A58" w:rsidRDefault="00D7008C" w:rsidP="00D7008C">
      <w:pPr>
        <w:spacing w:before="120" w:after="120"/>
        <w:ind w:right="10"/>
        <w:rPr>
          <w:rFonts w:asciiTheme="minorHAnsi" w:hAnsiTheme="minorHAnsi" w:cstheme="minorHAnsi"/>
          <w:color w:val="000000" w:themeColor="text1"/>
          <w:szCs w:val="20"/>
        </w:rPr>
      </w:pPr>
      <w:r w:rsidRPr="00FA7A58">
        <w:rPr>
          <w:rFonts w:asciiTheme="minorHAnsi" w:hAnsiTheme="minorHAnsi" w:cstheme="minorHAnsi"/>
          <w:color w:val="000000" w:themeColor="text1"/>
          <w:szCs w:val="20"/>
        </w:rPr>
        <w:t xml:space="preserve">Податкові декларації/відшкодування є предметом перегляду та розглядання багатьох органів влади, які уповноважені законодавством накладати значні штрафи, пені та нараховувати відсотки. Такі обставини загалом створюють в Україні більше податкових ризиків у порівнянні з країнами, які мають більш розвинені податкові системи. Загалом, українські податкові органи можуть переглянути податкові зобов’язання платників податків лише протягом трьох років після подання </w:t>
      </w:r>
      <w:r w:rsidR="0023241C" w:rsidRPr="00C45DB3">
        <w:rPr>
          <w:rFonts w:asciiTheme="minorHAnsi" w:hAnsiTheme="minorHAnsi" w:cstheme="minorHAnsi"/>
          <w:color w:val="000000" w:themeColor="text1"/>
          <w:szCs w:val="20"/>
        </w:rPr>
        <w:t>податкових декларацій</w:t>
      </w:r>
      <w:r w:rsidRPr="00C45DB3">
        <w:rPr>
          <w:rFonts w:asciiTheme="minorHAnsi" w:hAnsiTheme="minorHAnsi" w:cstheme="minorHAnsi"/>
          <w:color w:val="000000" w:themeColor="text1"/>
          <w:szCs w:val="20"/>
        </w:rPr>
        <w:t>.</w:t>
      </w:r>
      <w:r w:rsidRPr="00FA7A58">
        <w:rPr>
          <w:rFonts w:asciiTheme="minorHAnsi" w:hAnsiTheme="minorHAnsi" w:cstheme="minorHAnsi"/>
          <w:color w:val="000000" w:themeColor="text1"/>
          <w:szCs w:val="20"/>
        </w:rPr>
        <w:t xml:space="preserve"> Однак, таке законодавче обмеження в часі може не братися до уваги або бути продовженим за певних обставин.</w:t>
      </w:r>
    </w:p>
    <w:p w14:paraId="115AF30E" w14:textId="77777777" w:rsidR="00D7008C" w:rsidRPr="00FA7A58" w:rsidRDefault="00D7008C" w:rsidP="003A7D0C">
      <w:pPr>
        <w:numPr>
          <w:ilvl w:val="1"/>
          <w:numId w:val="2"/>
        </w:numPr>
        <w:tabs>
          <w:tab w:val="left" w:pos="284"/>
        </w:tabs>
        <w:spacing w:before="240" w:after="120"/>
        <w:ind w:left="0" w:right="11" w:firstLine="0"/>
        <w:rPr>
          <w:rFonts w:asciiTheme="minorHAnsi" w:hAnsiTheme="minorHAnsi" w:cstheme="minorHAnsi"/>
          <w:b/>
          <w:bCs/>
          <w:iCs/>
          <w:color w:val="000000" w:themeColor="text1"/>
          <w:szCs w:val="20"/>
          <w:lang w:eastAsia="uk-UA"/>
        </w:rPr>
      </w:pPr>
      <w:r w:rsidRPr="00FA7A58">
        <w:rPr>
          <w:rFonts w:asciiTheme="minorHAnsi" w:hAnsiTheme="minorHAnsi" w:cstheme="minorHAnsi"/>
          <w:b/>
          <w:bCs/>
          <w:iCs/>
          <w:color w:val="000000" w:themeColor="text1"/>
          <w:szCs w:val="20"/>
          <w:lang w:eastAsia="uk-UA"/>
        </w:rPr>
        <w:t>Кредитний ризик</w:t>
      </w:r>
    </w:p>
    <w:p w14:paraId="692B0A0B" w14:textId="77777777" w:rsidR="00D7008C" w:rsidRPr="00FA7A58" w:rsidRDefault="00D7008C" w:rsidP="00D7008C">
      <w:pPr>
        <w:tabs>
          <w:tab w:val="left" w:pos="567"/>
        </w:tabs>
        <w:spacing w:before="120" w:after="120"/>
        <w:ind w:right="10"/>
        <w:rPr>
          <w:rFonts w:asciiTheme="minorHAnsi" w:hAnsiTheme="minorHAnsi" w:cstheme="minorHAnsi"/>
          <w:color w:val="000000" w:themeColor="text1"/>
          <w:szCs w:val="20"/>
          <w:lang w:val="ru-RU"/>
        </w:rPr>
      </w:pPr>
      <w:r w:rsidRPr="00FA7A58">
        <w:rPr>
          <w:rFonts w:asciiTheme="minorHAnsi" w:hAnsiTheme="minorHAnsi" w:cstheme="minorHAnsi"/>
          <w:color w:val="000000" w:themeColor="text1"/>
          <w:szCs w:val="20"/>
        </w:rPr>
        <w:t xml:space="preserve">Кредитний ризик – це ризик фінансових втрат </w:t>
      </w:r>
      <w:r w:rsidRPr="00FA7A58">
        <w:rPr>
          <w:rFonts w:asciiTheme="minorHAnsi" w:hAnsiTheme="minorHAnsi" w:cstheme="minorHAnsi"/>
          <w:bCs/>
          <w:iCs/>
          <w:color w:val="000000" w:themeColor="text1"/>
          <w:szCs w:val="20"/>
          <w:lang w:eastAsia="uk-UA"/>
        </w:rPr>
        <w:t>Компанії</w:t>
      </w:r>
      <w:r w:rsidRPr="00FA7A58">
        <w:rPr>
          <w:rFonts w:asciiTheme="minorHAnsi" w:hAnsiTheme="minorHAnsi" w:cstheme="minorHAnsi"/>
          <w:color w:val="000000" w:themeColor="text1"/>
          <w:szCs w:val="20"/>
        </w:rPr>
        <w:t xml:space="preserve"> у випадку невиконання зобов’язань клієнтом або контрагентом за відповідною угодою. У звітному періоді фінансові активи </w:t>
      </w:r>
      <w:r w:rsidRPr="00FA7A58">
        <w:rPr>
          <w:rFonts w:asciiTheme="minorHAnsi" w:hAnsiTheme="minorHAnsi" w:cstheme="minorHAnsi"/>
          <w:bCs/>
          <w:iCs/>
          <w:color w:val="000000" w:themeColor="text1"/>
          <w:szCs w:val="20"/>
          <w:lang w:eastAsia="uk-UA"/>
        </w:rPr>
        <w:t>Компанії</w:t>
      </w:r>
      <w:r w:rsidRPr="00FA7A58">
        <w:rPr>
          <w:rFonts w:asciiTheme="minorHAnsi" w:hAnsiTheme="minorHAnsi" w:cstheme="minorHAnsi"/>
          <w:color w:val="000000" w:themeColor="text1"/>
          <w:szCs w:val="20"/>
        </w:rPr>
        <w:t xml:space="preserve">, які піддаються кредитному ризику, представлені: грошовими коштами та залишками на банківських рахунках, торговельною та іншою дебіторською заборгованістю (за виключенням дебіторської заборгованості, яка не представлена фінансовими активами). </w:t>
      </w:r>
    </w:p>
    <w:p w14:paraId="332D3D69" w14:textId="77777777" w:rsidR="00D7008C" w:rsidRPr="00FA7A58" w:rsidRDefault="00D7008C" w:rsidP="005E7E7E">
      <w:pPr>
        <w:pStyle w:val="af7"/>
        <w:keepNext/>
        <w:rPr>
          <w:rFonts w:asciiTheme="minorHAnsi" w:hAnsiTheme="minorHAnsi" w:cstheme="minorHAnsi"/>
          <w:b/>
          <w:color w:val="000000" w:themeColor="text1"/>
          <w:lang w:eastAsia="uk-UA"/>
        </w:rPr>
      </w:pPr>
      <w:r w:rsidRPr="00FA7A58">
        <w:rPr>
          <w:rFonts w:asciiTheme="minorHAnsi" w:hAnsiTheme="minorHAnsi" w:cstheme="minorHAnsi"/>
          <w:b/>
          <w:color w:val="000000" w:themeColor="text1"/>
          <w:lang w:eastAsia="uk-UA"/>
        </w:rPr>
        <w:t>Схильність до кредитного ризику</w:t>
      </w:r>
    </w:p>
    <w:p w14:paraId="6999B0D2" w14:textId="10C45E23" w:rsidR="00D7008C" w:rsidRPr="00FA7A58" w:rsidRDefault="00D7008C" w:rsidP="00E55F68">
      <w:pPr>
        <w:spacing w:before="120"/>
        <w:ind w:right="11"/>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t>Балансова вартість фінансових активів – це максимальна вартість, яка підлягає кредитному ризику. Максимальний рівень кредит</w:t>
      </w:r>
      <w:r w:rsidR="000B569A" w:rsidRPr="00FA7A58">
        <w:rPr>
          <w:rFonts w:asciiTheme="minorHAnsi" w:hAnsiTheme="minorHAnsi" w:cstheme="minorHAnsi"/>
          <w:bCs/>
          <w:iCs/>
          <w:color w:val="000000" w:themeColor="text1"/>
          <w:szCs w:val="20"/>
          <w:lang w:eastAsia="uk-UA"/>
        </w:rPr>
        <w:t>ного ризику ст</w:t>
      </w:r>
      <w:r w:rsidR="00FA7A58" w:rsidRPr="00FA7A58">
        <w:rPr>
          <w:rFonts w:asciiTheme="minorHAnsi" w:hAnsiTheme="minorHAnsi" w:cstheme="minorHAnsi"/>
          <w:bCs/>
          <w:iCs/>
          <w:color w:val="000000" w:themeColor="text1"/>
          <w:szCs w:val="20"/>
          <w:lang w:eastAsia="uk-UA"/>
        </w:rPr>
        <w:t>аном на 31.12.2020</w:t>
      </w:r>
      <w:r w:rsidR="004B4A27" w:rsidRPr="00FA7A58">
        <w:rPr>
          <w:rFonts w:asciiTheme="minorHAnsi" w:hAnsiTheme="minorHAnsi" w:cstheme="minorHAnsi"/>
          <w:bCs/>
          <w:iCs/>
          <w:color w:val="000000" w:themeColor="text1"/>
          <w:szCs w:val="20"/>
          <w:lang w:eastAsia="uk-UA"/>
        </w:rPr>
        <w:t xml:space="preserve"> та 31.12.201</w:t>
      </w:r>
      <w:r w:rsidR="00FA7A58" w:rsidRPr="00FA7A58">
        <w:rPr>
          <w:rFonts w:asciiTheme="minorHAnsi" w:hAnsiTheme="minorHAnsi" w:cstheme="minorHAnsi"/>
          <w:bCs/>
          <w:iCs/>
          <w:color w:val="000000" w:themeColor="text1"/>
          <w:szCs w:val="20"/>
          <w:lang w:eastAsia="uk-UA"/>
        </w:rPr>
        <w:t>9</w:t>
      </w:r>
      <w:r w:rsidRPr="00FA7A58">
        <w:rPr>
          <w:rFonts w:asciiTheme="minorHAnsi" w:hAnsiTheme="minorHAnsi" w:cstheme="minorHAnsi"/>
          <w:bCs/>
          <w:iCs/>
          <w:color w:val="000000" w:themeColor="text1"/>
          <w:szCs w:val="20"/>
          <w:lang w:eastAsia="uk-UA"/>
        </w:rPr>
        <w:t xml:space="preserve"> наступний:</w:t>
      </w:r>
    </w:p>
    <w:tbl>
      <w:tblPr>
        <w:tblW w:w="5000" w:type="pct"/>
        <w:tblLook w:val="04A0" w:firstRow="1" w:lastRow="0" w:firstColumn="1" w:lastColumn="0" w:noHBand="0" w:noVBand="1"/>
      </w:tblPr>
      <w:tblGrid>
        <w:gridCol w:w="4823"/>
        <w:gridCol w:w="1276"/>
        <w:gridCol w:w="1769"/>
        <w:gridCol w:w="1769"/>
      </w:tblGrid>
      <w:tr w:rsidR="009F5DE3" w:rsidRPr="00FA7A58" w14:paraId="119D91AA" w14:textId="77777777" w:rsidTr="004A2B7D">
        <w:trPr>
          <w:trHeight w:val="510"/>
          <w:tblHeader/>
        </w:trPr>
        <w:tc>
          <w:tcPr>
            <w:tcW w:w="2502" w:type="pct"/>
            <w:tcBorders>
              <w:top w:val="nil"/>
              <w:left w:val="nil"/>
              <w:bottom w:val="single" w:sz="4" w:space="0" w:color="auto"/>
            </w:tcBorders>
            <w:vAlign w:val="center"/>
            <w:hideMark/>
          </w:tcPr>
          <w:p w14:paraId="482153A9" w14:textId="644482DB" w:rsidR="00D7008C" w:rsidRPr="00FA7A58" w:rsidRDefault="00934B1D" w:rsidP="009F5DE3">
            <w:pPr>
              <w:jc w:val="left"/>
              <w:rPr>
                <w:rFonts w:asciiTheme="minorHAnsi" w:hAnsiTheme="minorHAnsi" w:cstheme="minorHAnsi"/>
                <w:b/>
                <w:bCs/>
                <w:color w:val="000000" w:themeColor="text1"/>
                <w:szCs w:val="20"/>
              </w:rPr>
            </w:pPr>
            <w:r w:rsidRPr="00FA7A58">
              <w:rPr>
                <w:rFonts w:asciiTheme="minorHAnsi" w:hAnsiTheme="minorHAnsi" w:cstheme="minorHAnsi"/>
                <w:b/>
                <w:bCs/>
                <w:color w:val="000000" w:themeColor="text1"/>
                <w:szCs w:val="20"/>
              </w:rPr>
              <w:t>2</w:t>
            </w:r>
            <w:r w:rsidR="009F5DE3" w:rsidRPr="00FA7A58">
              <w:rPr>
                <w:rFonts w:asciiTheme="minorHAnsi" w:hAnsiTheme="minorHAnsi" w:cstheme="minorHAnsi"/>
                <w:b/>
                <w:bCs/>
                <w:color w:val="000000" w:themeColor="text1"/>
                <w:szCs w:val="20"/>
              </w:rPr>
              <w:t>7</w:t>
            </w:r>
            <w:r w:rsidR="00D7008C" w:rsidRPr="00FA7A58">
              <w:rPr>
                <w:rFonts w:asciiTheme="minorHAnsi" w:hAnsiTheme="minorHAnsi" w:cstheme="minorHAnsi"/>
                <w:b/>
                <w:bCs/>
                <w:color w:val="000000" w:themeColor="text1"/>
                <w:szCs w:val="20"/>
              </w:rPr>
              <w:t>.1 Активи у Звіті про фінансовий стан</w:t>
            </w:r>
          </w:p>
        </w:tc>
        <w:tc>
          <w:tcPr>
            <w:tcW w:w="662" w:type="pct"/>
            <w:tcBorders>
              <w:top w:val="nil"/>
              <w:bottom w:val="single" w:sz="4" w:space="0" w:color="auto"/>
              <w:right w:val="nil"/>
            </w:tcBorders>
            <w:vAlign w:val="center"/>
          </w:tcPr>
          <w:p w14:paraId="41935F66" w14:textId="77777777" w:rsidR="00D7008C" w:rsidRPr="00FA7A58" w:rsidRDefault="00D7008C" w:rsidP="00052876">
            <w:pPr>
              <w:pStyle w:val="af7"/>
              <w:spacing w:before="0" w:after="0"/>
              <w:jc w:val="center"/>
              <w:rPr>
                <w:rFonts w:asciiTheme="minorHAnsi" w:hAnsiTheme="minorHAnsi" w:cstheme="minorHAnsi"/>
                <w:b/>
                <w:bCs/>
                <w:color w:val="000000" w:themeColor="text1"/>
                <w:szCs w:val="20"/>
              </w:rPr>
            </w:pPr>
            <w:r w:rsidRPr="00FA7A58">
              <w:rPr>
                <w:rFonts w:asciiTheme="minorHAnsi" w:hAnsiTheme="minorHAnsi" w:cstheme="minorHAnsi"/>
                <w:b/>
                <w:bCs/>
                <w:color w:val="000000" w:themeColor="text1"/>
                <w:szCs w:val="20"/>
              </w:rPr>
              <w:t>Примітки</w:t>
            </w:r>
          </w:p>
        </w:tc>
        <w:tc>
          <w:tcPr>
            <w:tcW w:w="918" w:type="pct"/>
            <w:tcBorders>
              <w:top w:val="nil"/>
              <w:left w:val="nil"/>
              <w:bottom w:val="single" w:sz="4" w:space="0" w:color="auto"/>
              <w:right w:val="nil"/>
            </w:tcBorders>
            <w:vAlign w:val="center"/>
            <w:hideMark/>
          </w:tcPr>
          <w:p w14:paraId="4DBFA033" w14:textId="1FA1447D" w:rsidR="00D7008C" w:rsidRPr="00FA7A58" w:rsidRDefault="00D7008C" w:rsidP="006B1111">
            <w:pPr>
              <w:keepNext/>
              <w:suppressAutoHyphens/>
              <w:jc w:val="right"/>
              <w:rPr>
                <w:rFonts w:asciiTheme="minorHAnsi" w:hAnsiTheme="minorHAnsi" w:cstheme="minorHAnsi"/>
                <w:b/>
                <w:color w:val="000000" w:themeColor="text1"/>
                <w:szCs w:val="20"/>
                <w:lang w:val="ru-RU"/>
              </w:rPr>
            </w:pPr>
            <w:r w:rsidRPr="00FA7A58">
              <w:rPr>
                <w:rFonts w:asciiTheme="minorHAnsi" w:hAnsiTheme="minorHAnsi" w:cstheme="minorHAnsi"/>
                <w:b/>
                <w:color w:val="000000" w:themeColor="text1"/>
                <w:szCs w:val="20"/>
              </w:rPr>
              <w:t>31.12.</w:t>
            </w:r>
            <w:r w:rsidR="00A1540B" w:rsidRPr="00FA7A58">
              <w:rPr>
                <w:rFonts w:asciiTheme="minorHAnsi" w:hAnsiTheme="minorHAnsi" w:cstheme="minorHAnsi"/>
                <w:b/>
                <w:color w:val="000000" w:themeColor="text1"/>
                <w:szCs w:val="20"/>
              </w:rPr>
              <w:t>20</w:t>
            </w:r>
            <w:r w:rsidR="00FA7A58" w:rsidRPr="00FA7A58">
              <w:rPr>
                <w:rFonts w:asciiTheme="minorHAnsi" w:hAnsiTheme="minorHAnsi" w:cstheme="minorHAnsi"/>
                <w:b/>
                <w:color w:val="000000" w:themeColor="text1"/>
                <w:szCs w:val="20"/>
              </w:rPr>
              <w:t>20</w:t>
            </w:r>
          </w:p>
        </w:tc>
        <w:tc>
          <w:tcPr>
            <w:tcW w:w="918" w:type="pct"/>
            <w:tcBorders>
              <w:top w:val="nil"/>
              <w:left w:val="nil"/>
              <w:bottom w:val="single" w:sz="4" w:space="0" w:color="auto"/>
              <w:right w:val="nil"/>
            </w:tcBorders>
            <w:vAlign w:val="center"/>
          </w:tcPr>
          <w:p w14:paraId="60BB6EFC" w14:textId="7F38BDAC" w:rsidR="0065373B" w:rsidRPr="00FA7A58" w:rsidRDefault="00D7008C" w:rsidP="004B4A27">
            <w:pPr>
              <w:keepNext/>
              <w:suppressAutoHyphens/>
              <w:jc w:val="right"/>
              <w:rPr>
                <w:rFonts w:asciiTheme="minorHAnsi" w:hAnsiTheme="minorHAnsi" w:cstheme="minorHAnsi"/>
                <w:b/>
                <w:color w:val="000000" w:themeColor="text1"/>
                <w:szCs w:val="20"/>
                <w:lang w:val="ru-RU"/>
              </w:rPr>
            </w:pPr>
            <w:r w:rsidRPr="00FA7A58">
              <w:rPr>
                <w:rFonts w:asciiTheme="minorHAnsi" w:hAnsiTheme="minorHAnsi" w:cstheme="minorHAnsi"/>
                <w:b/>
                <w:color w:val="000000" w:themeColor="text1"/>
                <w:szCs w:val="20"/>
              </w:rPr>
              <w:t>31.12.</w:t>
            </w:r>
            <w:r w:rsidR="00A1540B" w:rsidRPr="00FA7A58">
              <w:rPr>
                <w:rFonts w:asciiTheme="minorHAnsi" w:hAnsiTheme="minorHAnsi" w:cstheme="minorHAnsi"/>
                <w:b/>
                <w:color w:val="000000" w:themeColor="text1"/>
                <w:szCs w:val="20"/>
              </w:rPr>
              <w:t>20</w:t>
            </w:r>
            <w:r w:rsidRPr="00FA7A58">
              <w:rPr>
                <w:rFonts w:asciiTheme="minorHAnsi" w:hAnsiTheme="minorHAnsi" w:cstheme="minorHAnsi"/>
                <w:b/>
                <w:color w:val="000000" w:themeColor="text1"/>
                <w:szCs w:val="20"/>
              </w:rPr>
              <w:t>1</w:t>
            </w:r>
            <w:r w:rsidR="00FA7A58" w:rsidRPr="00FA7A58">
              <w:rPr>
                <w:rFonts w:asciiTheme="minorHAnsi" w:hAnsiTheme="minorHAnsi" w:cstheme="minorHAnsi"/>
                <w:b/>
                <w:color w:val="000000" w:themeColor="text1"/>
                <w:szCs w:val="20"/>
                <w:lang w:val="ru-RU"/>
              </w:rPr>
              <w:t>9</w:t>
            </w:r>
          </w:p>
        </w:tc>
      </w:tr>
      <w:tr w:rsidR="00FA7A58" w:rsidRPr="00FA7A58" w14:paraId="3396F8AE" w14:textId="77777777" w:rsidTr="009F5DE3">
        <w:trPr>
          <w:trHeight w:val="255"/>
        </w:trPr>
        <w:tc>
          <w:tcPr>
            <w:tcW w:w="2502" w:type="pct"/>
            <w:tcBorders>
              <w:top w:val="single" w:sz="4" w:space="0" w:color="auto"/>
              <w:left w:val="nil"/>
            </w:tcBorders>
            <w:vAlign w:val="center"/>
            <w:hideMark/>
          </w:tcPr>
          <w:p w14:paraId="64E9F19C" w14:textId="1CBDE05F" w:rsidR="00FA7A58" w:rsidRPr="00FA7A58" w:rsidRDefault="00FA7A58" w:rsidP="00FA7A58">
            <w:pPr>
              <w:pStyle w:val="af7"/>
              <w:spacing w:before="0" w:after="0"/>
              <w:jc w:val="left"/>
              <w:rPr>
                <w:rFonts w:asciiTheme="minorHAnsi" w:hAnsiTheme="minorHAnsi" w:cstheme="minorHAnsi"/>
                <w:color w:val="000000" w:themeColor="text1"/>
                <w:szCs w:val="20"/>
              </w:rPr>
            </w:pPr>
            <w:r w:rsidRPr="00FA7A58">
              <w:rPr>
                <w:color w:val="000000" w:themeColor="text1"/>
                <w:szCs w:val="20"/>
              </w:rPr>
              <w:t>Торговельна дебіторська заборгованість, чиста</w:t>
            </w:r>
          </w:p>
        </w:tc>
        <w:tc>
          <w:tcPr>
            <w:tcW w:w="662" w:type="pct"/>
            <w:tcBorders>
              <w:top w:val="single" w:sz="4" w:space="0" w:color="auto"/>
              <w:right w:val="nil"/>
            </w:tcBorders>
            <w:vAlign w:val="center"/>
          </w:tcPr>
          <w:p w14:paraId="7DE6D91E" w14:textId="23463C23" w:rsidR="00FA7A58" w:rsidRPr="00FA7A58" w:rsidRDefault="00FA7A58" w:rsidP="00FA7A58">
            <w:pPr>
              <w:pStyle w:val="af7"/>
              <w:spacing w:before="0" w:after="0"/>
              <w:jc w:val="center"/>
              <w:rPr>
                <w:rFonts w:asciiTheme="minorHAnsi" w:hAnsiTheme="minorHAnsi" w:cstheme="minorHAnsi"/>
                <w:color w:val="000000" w:themeColor="text1"/>
                <w:szCs w:val="20"/>
              </w:rPr>
            </w:pPr>
            <w:r w:rsidRPr="00FA7A58">
              <w:rPr>
                <w:rFonts w:asciiTheme="minorHAnsi" w:hAnsiTheme="minorHAnsi" w:cstheme="minorHAnsi"/>
                <w:color w:val="000000" w:themeColor="text1"/>
                <w:szCs w:val="20"/>
              </w:rPr>
              <w:t>14</w:t>
            </w:r>
          </w:p>
        </w:tc>
        <w:tc>
          <w:tcPr>
            <w:tcW w:w="918" w:type="pct"/>
            <w:tcBorders>
              <w:top w:val="single" w:sz="4" w:space="0" w:color="auto"/>
              <w:left w:val="nil"/>
              <w:right w:val="nil"/>
            </w:tcBorders>
            <w:vAlign w:val="center"/>
          </w:tcPr>
          <w:p w14:paraId="1C243FDF" w14:textId="3F424E9D" w:rsidR="00FA7A58" w:rsidRPr="00FA7A58" w:rsidRDefault="00FA7A58" w:rsidP="00FA7A58">
            <w:pPr>
              <w:jc w:val="right"/>
              <w:rPr>
                <w:rFonts w:asciiTheme="minorHAnsi" w:hAnsiTheme="minorHAnsi" w:cstheme="minorHAnsi"/>
                <w:color w:val="000000" w:themeColor="text1"/>
                <w:szCs w:val="20"/>
                <w:lang w:val="en-US"/>
              </w:rPr>
            </w:pPr>
            <w:r w:rsidRPr="00FA7A58">
              <w:rPr>
                <w:color w:val="000000" w:themeColor="text1"/>
                <w:szCs w:val="20"/>
              </w:rPr>
              <w:t xml:space="preserve">1 454 070 </w:t>
            </w:r>
          </w:p>
        </w:tc>
        <w:tc>
          <w:tcPr>
            <w:tcW w:w="918" w:type="pct"/>
            <w:tcBorders>
              <w:top w:val="single" w:sz="4" w:space="0" w:color="auto"/>
              <w:left w:val="nil"/>
              <w:right w:val="nil"/>
            </w:tcBorders>
            <w:vAlign w:val="center"/>
          </w:tcPr>
          <w:p w14:paraId="35B31E1C" w14:textId="50F4DBB7" w:rsidR="00FA7A58" w:rsidRPr="00FA7A58" w:rsidRDefault="00FA7A58" w:rsidP="00FA7A58">
            <w:pPr>
              <w:jc w:val="right"/>
              <w:rPr>
                <w:rFonts w:asciiTheme="minorHAnsi" w:hAnsiTheme="minorHAnsi" w:cstheme="minorHAnsi"/>
                <w:color w:val="000000" w:themeColor="text1"/>
                <w:szCs w:val="20"/>
                <w:lang w:val="ru-RU"/>
              </w:rPr>
            </w:pPr>
            <w:r w:rsidRPr="00FA7A58">
              <w:rPr>
                <w:color w:val="000000" w:themeColor="text1"/>
                <w:szCs w:val="20"/>
              </w:rPr>
              <w:t xml:space="preserve">1 420 588 </w:t>
            </w:r>
          </w:p>
        </w:tc>
      </w:tr>
      <w:tr w:rsidR="00FA7A58" w:rsidRPr="00FA7A58" w14:paraId="666B7874" w14:textId="77777777" w:rsidTr="009F5DE3">
        <w:trPr>
          <w:trHeight w:val="255"/>
        </w:trPr>
        <w:tc>
          <w:tcPr>
            <w:tcW w:w="2502" w:type="pct"/>
            <w:tcBorders>
              <w:left w:val="nil"/>
              <w:bottom w:val="nil"/>
            </w:tcBorders>
            <w:vAlign w:val="center"/>
            <w:hideMark/>
          </w:tcPr>
          <w:p w14:paraId="41CF0340" w14:textId="53D903D9" w:rsidR="00FA7A58" w:rsidRPr="00FA7A58" w:rsidRDefault="00FA7A58" w:rsidP="00FA7A58">
            <w:pPr>
              <w:pStyle w:val="af7"/>
              <w:spacing w:before="0" w:after="0"/>
              <w:jc w:val="left"/>
              <w:rPr>
                <w:rFonts w:asciiTheme="minorHAnsi" w:hAnsiTheme="minorHAnsi" w:cstheme="minorHAnsi"/>
                <w:color w:val="000000" w:themeColor="text1"/>
                <w:szCs w:val="20"/>
              </w:rPr>
            </w:pPr>
            <w:r w:rsidRPr="00FA7A58">
              <w:rPr>
                <w:color w:val="000000" w:themeColor="text1"/>
                <w:szCs w:val="20"/>
              </w:rPr>
              <w:t>Інші фінансові інвестиції</w:t>
            </w:r>
          </w:p>
        </w:tc>
        <w:tc>
          <w:tcPr>
            <w:tcW w:w="662" w:type="pct"/>
            <w:tcBorders>
              <w:bottom w:val="nil"/>
              <w:right w:val="nil"/>
            </w:tcBorders>
            <w:vAlign w:val="center"/>
          </w:tcPr>
          <w:p w14:paraId="3DBC9880" w14:textId="6833ED6A" w:rsidR="00FA7A58" w:rsidRPr="00FA7A58" w:rsidRDefault="00FA7A58" w:rsidP="00FA7A58">
            <w:pPr>
              <w:pStyle w:val="af7"/>
              <w:spacing w:before="0" w:after="0"/>
              <w:jc w:val="center"/>
              <w:rPr>
                <w:rFonts w:asciiTheme="minorHAnsi" w:hAnsiTheme="minorHAnsi" w:cstheme="minorHAnsi"/>
                <w:color w:val="000000" w:themeColor="text1"/>
                <w:szCs w:val="20"/>
              </w:rPr>
            </w:pPr>
            <w:r w:rsidRPr="00FA7A58">
              <w:rPr>
                <w:rFonts w:asciiTheme="minorHAnsi" w:hAnsiTheme="minorHAnsi" w:cstheme="minorHAnsi"/>
                <w:color w:val="000000" w:themeColor="text1"/>
                <w:szCs w:val="20"/>
              </w:rPr>
              <w:t>12</w:t>
            </w:r>
          </w:p>
        </w:tc>
        <w:tc>
          <w:tcPr>
            <w:tcW w:w="918" w:type="pct"/>
            <w:tcBorders>
              <w:left w:val="nil"/>
              <w:bottom w:val="nil"/>
              <w:right w:val="nil"/>
            </w:tcBorders>
            <w:vAlign w:val="center"/>
          </w:tcPr>
          <w:p w14:paraId="07332FB5" w14:textId="772654EF" w:rsidR="00FA7A58" w:rsidRPr="00FA7A58" w:rsidRDefault="00FA7A58" w:rsidP="00FA7A58">
            <w:pPr>
              <w:jc w:val="right"/>
              <w:rPr>
                <w:rFonts w:asciiTheme="minorHAnsi" w:hAnsiTheme="minorHAnsi" w:cstheme="minorHAnsi"/>
                <w:color w:val="000000" w:themeColor="text1"/>
                <w:szCs w:val="20"/>
                <w:lang w:val="en-US"/>
              </w:rPr>
            </w:pPr>
            <w:r w:rsidRPr="00FA7A58">
              <w:rPr>
                <w:color w:val="000000" w:themeColor="text1"/>
                <w:szCs w:val="20"/>
              </w:rPr>
              <w:t xml:space="preserve">121 919 </w:t>
            </w:r>
          </w:p>
        </w:tc>
        <w:tc>
          <w:tcPr>
            <w:tcW w:w="918" w:type="pct"/>
            <w:tcBorders>
              <w:left w:val="nil"/>
              <w:bottom w:val="nil"/>
              <w:right w:val="nil"/>
            </w:tcBorders>
            <w:vAlign w:val="center"/>
          </w:tcPr>
          <w:p w14:paraId="51B9F7FD" w14:textId="2E413A22" w:rsidR="00FA7A58" w:rsidRPr="00FA7A58" w:rsidRDefault="00FA7A58" w:rsidP="00FA7A58">
            <w:pPr>
              <w:jc w:val="right"/>
              <w:rPr>
                <w:rFonts w:asciiTheme="minorHAnsi" w:hAnsiTheme="minorHAnsi" w:cstheme="minorHAnsi"/>
                <w:color w:val="000000" w:themeColor="text1"/>
                <w:szCs w:val="20"/>
              </w:rPr>
            </w:pPr>
            <w:r w:rsidRPr="00FA7A58">
              <w:rPr>
                <w:color w:val="000000" w:themeColor="text1"/>
                <w:szCs w:val="20"/>
              </w:rPr>
              <w:t xml:space="preserve">66 124 </w:t>
            </w:r>
          </w:p>
        </w:tc>
      </w:tr>
      <w:tr w:rsidR="00FA7A58" w:rsidRPr="00FA7A58" w14:paraId="44E7589D" w14:textId="77777777" w:rsidTr="009F5DE3">
        <w:trPr>
          <w:trHeight w:val="255"/>
        </w:trPr>
        <w:tc>
          <w:tcPr>
            <w:tcW w:w="2502" w:type="pct"/>
            <w:vAlign w:val="center"/>
            <w:hideMark/>
          </w:tcPr>
          <w:p w14:paraId="43F8E849" w14:textId="009A7460" w:rsidR="00FA7A58" w:rsidRPr="00FA7A58" w:rsidRDefault="00FA7A58" w:rsidP="00FA7A58">
            <w:pPr>
              <w:pStyle w:val="af7"/>
              <w:spacing w:before="0" w:after="0"/>
              <w:jc w:val="left"/>
              <w:rPr>
                <w:rFonts w:asciiTheme="minorHAnsi" w:hAnsiTheme="minorHAnsi" w:cstheme="minorHAnsi"/>
                <w:color w:val="000000" w:themeColor="text1"/>
                <w:szCs w:val="20"/>
              </w:rPr>
            </w:pPr>
            <w:r w:rsidRPr="00FA7A58">
              <w:rPr>
                <w:color w:val="000000" w:themeColor="text1"/>
                <w:szCs w:val="20"/>
              </w:rPr>
              <w:t>Інша поточна дебіторська заборгованість</w:t>
            </w:r>
          </w:p>
        </w:tc>
        <w:tc>
          <w:tcPr>
            <w:tcW w:w="662" w:type="pct"/>
            <w:vAlign w:val="center"/>
          </w:tcPr>
          <w:p w14:paraId="3EF412CF" w14:textId="5DE170D3" w:rsidR="00FA7A58" w:rsidRPr="00FA7A58" w:rsidRDefault="00FA7A58" w:rsidP="00FA7A58">
            <w:pPr>
              <w:pStyle w:val="af7"/>
              <w:spacing w:before="0" w:after="0"/>
              <w:jc w:val="center"/>
              <w:rPr>
                <w:rFonts w:asciiTheme="minorHAnsi" w:hAnsiTheme="minorHAnsi" w:cstheme="minorHAnsi"/>
                <w:color w:val="000000" w:themeColor="text1"/>
                <w:szCs w:val="20"/>
              </w:rPr>
            </w:pPr>
            <w:r w:rsidRPr="00FA7A58">
              <w:rPr>
                <w:rFonts w:asciiTheme="minorHAnsi" w:hAnsiTheme="minorHAnsi" w:cstheme="minorHAnsi"/>
                <w:color w:val="000000" w:themeColor="text1"/>
                <w:szCs w:val="20"/>
              </w:rPr>
              <w:t>14</w:t>
            </w:r>
          </w:p>
        </w:tc>
        <w:tc>
          <w:tcPr>
            <w:tcW w:w="918" w:type="pct"/>
            <w:vAlign w:val="center"/>
          </w:tcPr>
          <w:p w14:paraId="34826452" w14:textId="76C4E73B" w:rsidR="00FA7A58" w:rsidRPr="00FA7A58" w:rsidRDefault="00FA7A58" w:rsidP="00FA7A58">
            <w:pPr>
              <w:jc w:val="right"/>
              <w:rPr>
                <w:rFonts w:asciiTheme="minorHAnsi" w:hAnsiTheme="minorHAnsi" w:cstheme="minorHAnsi"/>
                <w:color w:val="000000" w:themeColor="text1"/>
                <w:szCs w:val="20"/>
                <w:lang w:val="en-US"/>
              </w:rPr>
            </w:pPr>
            <w:r w:rsidRPr="00FA7A58">
              <w:rPr>
                <w:color w:val="000000" w:themeColor="text1"/>
                <w:szCs w:val="20"/>
              </w:rPr>
              <w:t xml:space="preserve">7 457 </w:t>
            </w:r>
          </w:p>
        </w:tc>
        <w:tc>
          <w:tcPr>
            <w:tcW w:w="918" w:type="pct"/>
            <w:vAlign w:val="center"/>
          </w:tcPr>
          <w:p w14:paraId="094F5E75" w14:textId="59DE19DA" w:rsidR="00FA7A58" w:rsidRPr="00FA7A58" w:rsidRDefault="00FA7A58" w:rsidP="00FA7A58">
            <w:pPr>
              <w:jc w:val="right"/>
              <w:rPr>
                <w:rFonts w:asciiTheme="minorHAnsi" w:hAnsiTheme="minorHAnsi" w:cstheme="minorHAnsi"/>
                <w:color w:val="000000" w:themeColor="text1"/>
                <w:szCs w:val="20"/>
              </w:rPr>
            </w:pPr>
            <w:r w:rsidRPr="00FA7A58">
              <w:rPr>
                <w:color w:val="000000" w:themeColor="text1"/>
                <w:szCs w:val="20"/>
              </w:rPr>
              <w:t xml:space="preserve">4 035 </w:t>
            </w:r>
          </w:p>
        </w:tc>
      </w:tr>
      <w:tr w:rsidR="00FA7A58" w:rsidRPr="00FA7A58" w14:paraId="0D3432F2" w14:textId="77777777" w:rsidTr="009F5DE3">
        <w:trPr>
          <w:trHeight w:val="255"/>
        </w:trPr>
        <w:tc>
          <w:tcPr>
            <w:tcW w:w="2502" w:type="pct"/>
            <w:tcBorders>
              <w:top w:val="nil"/>
              <w:left w:val="nil"/>
              <w:bottom w:val="single" w:sz="4" w:space="0" w:color="auto"/>
            </w:tcBorders>
            <w:vAlign w:val="center"/>
            <w:hideMark/>
          </w:tcPr>
          <w:p w14:paraId="7A3F5C05" w14:textId="06327F78" w:rsidR="00FA7A58" w:rsidRPr="00FA7A58" w:rsidRDefault="00FA7A58" w:rsidP="00FA7A58">
            <w:pPr>
              <w:pStyle w:val="af7"/>
              <w:spacing w:before="0" w:after="0"/>
              <w:jc w:val="left"/>
              <w:rPr>
                <w:rFonts w:asciiTheme="minorHAnsi" w:hAnsiTheme="minorHAnsi" w:cstheme="minorHAnsi"/>
                <w:color w:val="000000" w:themeColor="text1"/>
                <w:szCs w:val="20"/>
              </w:rPr>
            </w:pPr>
            <w:r w:rsidRPr="00FA7A58">
              <w:rPr>
                <w:color w:val="000000" w:themeColor="text1"/>
                <w:szCs w:val="20"/>
              </w:rPr>
              <w:t>Грошові кошти та їх еквіваленти</w:t>
            </w:r>
          </w:p>
        </w:tc>
        <w:tc>
          <w:tcPr>
            <w:tcW w:w="662" w:type="pct"/>
            <w:tcBorders>
              <w:top w:val="nil"/>
              <w:bottom w:val="single" w:sz="4" w:space="0" w:color="auto"/>
              <w:right w:val="nil"/>
            </w:tcBorders>
            <w:vAlign w:val="center"/>
          </w:tcPr>
          <w:p w14:paraId="6BBA159D" w14:textId="4B3D642C" w:rsidR="00FA7A58" w:rsidRPr="00FA7A58" w:rsidRDefault="00FA7A58" w:rsidP="00FA7A58">
            <w:pPr>
              <w:pStyle w:val="af7"/>
              <w:spacing w:before="0" w:after="0"/>
              <w:jc w:val="center"/>
              <w:rPr>
                <w:rFonts w:asciiTheme="minorHAnsi" w:hAnsiTheme="minorHAnsi" w:cstheme="minorHAnsi"/>
                <w:color w:val="000000" w:themeColor="text1"/>
                <w:szCs w:val="20"/>
              </w:rPr>
            </w:pPr>
            <w:r w:rsidRPr="00FA7A58">
              <w:rPr>
                <w:rFonts w:asciiTheme="minorHAnsi" w:hAnsiTheme="minorHAnsi" w:cstheme="minorHAnsi"/>
                <w:color w:val="000000" w:themeColor="text1"/>
                <w:szCs w:val="20"/>
              </w:rPr>
              <w:t>15</w:t>
            </w:r>
          </w:p>
        </w:tc>
        <w:tc>
          <w:tcPr>
            <w:tcW w:w="918" w:type="pct"/>
            <w:tcBorders>
              <w:top w:val="nil"/>
              <w:left w:val="nil"/>
              <w:bottom w:val="single" w:sz="4" w:space="0" w:color="auto"/>
              <w:right w:val="nil"/>
            </w:tcBorders>
            <w:vAlign w:val="center"/>
          </w:tcPr>
          <w:p w14:paraId="5CDC1428" w14:textId="5471D0E6" w:rsidR="00FA7A58" w:rsidRPr="00FA7A58" w:rsidRDefault="00FA7A58" w:rsidP="00FA7A58">
            <w:pPr>
              <w:jc w:val="right"/>
              <w:rPr>
                <w:rFonts w:asciiTheme="minorHAnsi" w:hAnsiTheme="minorHAnsi" w:cstheme="minorHAnsi"/>
                <w:color w:val="000000" w:themeColor="text1"/>
                <w:szCs w:val="20"/>
                <w:lang w:val="ru-RU"/>
              </w:rPr>
            </w:pPr>
            <w:r w:rsidRPr="00FA7A58">
              <w:rPr>
                <w:color w:val="000000" w:themeColor="text1"/>
                <w:szCs w:val="20"/>
              </w:rPr>
              <w:t xml:space="preserve">11 960 </w:t>
            </w:r>
          </w:p>
        </w:tc>
        <w:tc>
          <w:tcPr>
            <w:tcW w:w="918" w:type="pct"/>
            <w:tcBorders>
              <w:top w:val="nil"/>
              <w:left w:val="nil"/>
              <w:bottom w:val="single" w:sz="4" w:space="0" w:color="auto"/>
              <w:right w:val="nil"/>
            </w:tcBorders>
            <w:vAlign w:val="center"/>
          </w:tcPr>
          <w:p w14:paraId="01FE2092" w14:textId="6B0F5E3B" w:rsidR="00FA7A58" w:rsidRPr="00FA7A58" w:rsidRDefault="00FA7A58" w:rsidP="00FA7A58">
            <w:pPr>
              <w:jc w:val="right"/>
              <w:rPr>
                <w:rFonts w:asciiTheme="minorHAnsi" w:hAnsiTheme="minorHAnsi" w:cstheme="minorHAnsi"/>
                <w:color w:val="000000" w:themeColor="text1"/>
                <w:szCs w:val="20"/>
              </w:rPr>
            </w:pPr>
            <w:r w:rsidRPr="00FA7A58">
              <w:rPr>
                <w:color w:val="000000" w:themeColor="text1"/>
                <w:szCs w:val="20"/>
              </w:rPr>
              <w:t xml:space="preserve">11 432 </w:t>
            </w:r>
          </w:p>
        </w:tc>
      </w:tr>
      <w:tr w:rsidR="00FA7A58" w:rsidRPr="00FA7A58" w14:paraId="647DC770" w14:textId="77777777" w:rsidTr="009F5DE3">
        <w:trPr>
          <w:trHeight w:val="255"/>
        </w:trPr>
        <w:tc>
          <w:tcPr>
            <w:tcW w:w="2502" w:type="pct"/>
            <w:tcBorders>
              <w:top w:val="single" w:sz="4" w:space="0" w:color="auto"/>
              <w:left w:val="nil"/>
              <w:bottom w:val="nil"/>
            </w:tcBorders>
            <w:vAlign w:val="center"/>
            <w:hideMark/>
          </w:tcPr>
          <w:p w14:paraId="26932058" w14:textId="77777777" w:rsidR="00FA7A58" w:rsidRPr="00FA7A58" w:rsidRDefault="00FA7A58" w:rsidP="00FA7A58">
            <w:pPr>
              <w:pStyle w:val="af7"/>
              <w:spacing w:before="0" w:after="0"/>
              <w:jc w:val="left"/>
              <w:rPr>
                <w:rFonts w:asciiTheme="minorHAnsi" w:hAnsiTheme="minorHAnsi" w:cstheme="minorHAnsi"/>
                <w:b/>
                <w:color w:val="000000" w:themeColor="text1"/>
                <w:szCs w:val="20"/>
              </w:rPr>
            </w:pPr>
            <w:r w:rsidRPr="00FA7A58">
              <w:rPr>
                <w:rFonts w:asciiTheme="minorHAnsi" w:hAnsiTheme="minorHAnsi" w:cstheme="minorHAnsi"/>
                <w:b/>
                <w:color w:val="000000" w:themeColor="text1"/>
                <w:szCs w:val="20"/>
              </w:rPr>
              <w:t>Разом:</w:t>
            </w:r>
          </w:p>
        </w:tc>
        <w:tc>
          <w:tcPr>
            <w:tcW w:w="662" w:type="pct"/>
            <w:tcBorders>
              <w:top w:val="single" w:sz="4" w:space="0" w:color="auto"/>
              <w:bottom w:val="nil"/>
              <w:right w:val="nil"/>
            </w:tcBorders>
            <w:vAlign w:val="center"/>
          </w:tcPr>
          <w:p w14:paraId="754CA3CD" w14:textId="77777777" w:rsidR="00FA7A58" w:rsidRPr="00FA7A58" w:rsidRDefault="00FA7A58" w:rsidP="00FA7A58">
            <w:pPr>
              <w:pStyle w:val="af7"/>
              <w:spacing w:before="0" w:after="0"/>
              <w:jc w:val="center"/>
              <w:rPr>
                <w:rFonts w:asciiTheme="minorHAnsi" w:hAnsiTheme="minorHAnsi" w:cstheme="minorHAnsi"/>
                <w:color w:val="000000" w:themeColor="text1"/>
                <w:szCs w:val="20"/>
              </w:rPr>
            </w:pPr>
          </w:p>
        </w:tc>
        <w:tc>
          <w:tcPr>
            <w:tcW w:w="918" w:type="pct"/>
            <w:tcBorders>
              <w:top w:val="single" w:sz="4" w:space="0" w:color="auto"/>
              <w:left w:val="nil"/>
              <w:bottom w:val="nil"/>
              <w:right w:val="nil"/>
            </w:tcBorders>
            <w:vAlign w:val="center"/>
          </w:tcPr>
          <w:p w14:paraId="1834EA3F" w14:textId="1FC72ACB" w:rsidR="00FA7A58" w:rsidRPr="00FA7A58" w:rsidRDefault="00FA7A58" w:rsidP="00FA7A58">
            <w:pPr>
              <w:jc w:val="right"/>
              <w:rPr>
                <w:rFonts w:asciiTheme="minorHAnsi" w:hAnsiTheme="minorHAnsi" w:cstheme="minorHAnsi"/>
                <w:b/>
                <w:bCs/>
                <w:color w:val="000000" w:themeColor="text1"/>
                <w:szCs w:val="20"/>
                <w:lang w:val="en-US"/>
              </w:rPr>
            </w:pPr>
            <w:r w:rsidRPr="00FA7A58">
              <w:rPr>
                <w:b/>
                <w:bCs/>
                <w:color w:val="000000" w:themeColor="text1"/>
                <w:szCs w:val="20"/>
              </w:rPr>
              <w:t xml:space="preserve">1 595 406 </w:t>
            </w:r>
          </w:p>
        </w:tc>
        <w:tc>
          <w:tcPr>
            <w:tcW w:w="918" w:type="pct"/>
            <w:tcBorders>
              <w:top w:val="single" w:sz="4" w:space="0" w:color="auto"/>
              <w:left w:val="nil"/>
              <w:bottom w:val="nil"/>
              <w:right w:val="nil"/>
            </w:tcBorders>
            <w:vAlign w:val="center"/>
          </w:tcPr>
          <w:p w14:paraId="410B2B02" w14:textId="39D123D3" w:rsidR="00FA7A58" w:rsidRPr="00FA7A58" w:rsidRDefault="00FA7A58" w:rsidP="00FA7A58">
            <w:pPr>
              <w:jc w:val="right"/>
              <w:rPr>
                <w:rFonts w:asciiTheme="minorHAnsi" w:hAnsiTheme="minorHAnsi" w:cstheme="minorHAnsi"/>
                <w:b/>
                <w:bCs/>
                <w:color w:val="000000" w:themeColor="text1"/>
                <w:szCs w:val="20"/>
                <w:lang w:val="ru-RU"/>
              </w:rPr>
            </w:pPr>
            <w:r w:rsidRPr="00FA7A58">
              <w:rPr>
                <w:b/>
                <w:bCs/>
                <w:color w:val="000000" w:themeColor="text1"/>
                <w:szCs w:val="20"/>
              </w:rPr>
              <w:t xml:space="preserve">1 502 179 </w:t>
            </w:r>
          </w:p>
        </w:tc>
      </w:tr>
    </w:tbl>
    <w:p w14:paraId="4858FA1D" w14:textId="77777777" w:rsidR="00D7008C" w:rsidRPr="00FA7A58" w:rsidRDefault="00D7008C" w:rsidP="009C7E14">
      <w:pPr>
        <w:spacing w:before="240" w:after="120"/>
        <w:ind w:right="11"/>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t>Кредитний ризик Компанії переважно відноситься до торгівельної дебіторської заборгованості з клієнтами (покупцями продукції). Схильність Компанії до кредитного ризику у більшій мірі залежить ві</w:t>
      </w:r>
      <w:r w:rsidR="009C7E14" w:rsidRPr="00FA7A58">
        <w:rPr>
          <w:rFonts w:asciiTheme="minorHAnsi" w:hAnsiTheme="minorHAnsi" w:cstheme="minorHAnsi"/>
          <w:bCs/>
          <w:iCs/>
          <w:color w:val="000000" w:themeColor="text1"/>
          <w:szCs w:val="20"/>
          <w:lang w:eastAsia="uk-UA"/>
        </w:rPr>
        <w:t>д особливостей кожного клієнта.</w:t>
      </w:r>
    </w:p>
    <w:p w14:paraId="18800FFE" w14:textId="77777777" w:rsidR="00D7008C" w:rsidRPr="00FA7A58" w:rsidRDefault="00D7008C" w:rsidP="00D7008C">
      <w:pPr>
        <w:spacing w:before="120" w:after="120"/>
        <w:ind w:right="10"/>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t>Кредитний ризик Компанії контролюється та аналізується на підставі окремо взятих випадків і керівництво Компанії вважає, що кредитний ризик відповідним чином відображається шляхом уцінки, яка напряму зменшує балансову вартість дебіторської заборгованості.</w:t>
      </w:r>
    </w:p>
    <w:p w14:paraId="03F23481" w14:textId="77777777" w:rsidR="00D7008C" w:rsidRPr="00FA7A58" w:rsidRDefault="00D7008C" w:rsidP="003A7D0C">
      <w:pPr>
        <w:keepNext/>
        <w:numPr>
          <w:ilvl w:val="1"/>
          <w:numId w:val="2"/>
        </w:numPr>
        <w:tabs>
          <w:tab w:val="left" w:pos="284"/>
        </w:tabs>
        <w:spacing w:before="240" w:after="120"/>
        <w:ind w:left="0" w:right="11" w:firstLine="0"/>
        <w:rPr>
          <w:rFonts w:asciiTheme="minorHAnsi" w:hAnsiTheme="minorHAnsi" w:cstheme="minorHAnsi"/>
          <w:bCs/>
          <w:iCs/>
          <w:color w:val="000000" w:themeColor="text1"/>
          <w:szCs w:val="20"/>
          <w:lang w:eastAsia="uk-UA"/>
        </w:rPr>
      </w:pPr>
      <w:r w:rsidRPr="00FA7A58">
        <w:rPr>
          <w:rFonts w:asciiTheme="minorHAnsi" w:hAnsiTheme="minorHAnsi" w:cstheme="minorHAnsi"/>
          <w:b/>
          <w:bCs/>
          <w:iCs/>
          <w:color w:val="000000" w:themeColor="text1"/>
          <w:szCs w:val="20"/>
          <w:lang w:eastAsia="uk-UA"/>
        </w:rPr>
        <w:t>Ризик ліквідності</w:t>
      </w:r>
    </w:p>
    <w:p w14:paraId="7DD4F94C" w14:textId="77777777" w:rsidR="00D7008C" w:rsidRPr="00FA7A58" w:rsidRDefault="00D7008C" w:rsidP="00D7008C">
      <w:pPr>
        <w:spacing w:before="120" w:after="120"/>
        <w:ind w:right="10"/>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t>Ризик ліквідності – це ризик невиконання Компанією своїх фінансових зобов’язань на дату їхнього погашення. Підхід Компанії до управління ліквідністю полягає в забезпеченні, у можливих межах, постійної наявності у Компанії відповідної ліквідності, яка б дозволяла відповідати на її зобов’язання своєчасно (як в нормальних умовах, так і у випадку виникнення нестандартних ситуацій), уникаючи неприйнятних збитків або ризику пошкодження репутації Компанії.</w:t>
      </w:r>
    </w:p>
    <w:p w14:paraId="6E6CE0E7" w14:textId="77777777" w:rsidR="00D7008C" w:rsidRPr="00FA7A58" w:rsidRDefault="00D7008C" w:rsidP="00D7008C">
      <w:pPr>
        <w:spacing w:before="120" w:after="120"/>
        <w:ind w:right="10"/>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t>Відповідальність за управління ризиком втрати ліквідності повністю несе управлінський персонал Компанії, який розробив відповідну структуру для управління потребами Компанії у довгостроковому, середньостроковому та короткостроковому фінансуванні, та для контролю над ліквідністю. Компанія управляє ризиком втрати ліквідності за допомогою дотримання достатніх резервів, використання банківських ресурсів та позик, а також за допомогою постійного моніторингу, передбачуваного та фактичного руху грошових коштів, а також, поєднання термінів настання платежів по активах та зобов’язаннях Компанії.</w:t>
      </w:r>
    </w:p>
    <w:p w14:paraId="61FCE757" w14:textId="77777777" w:rsidR="00D7008C" w:rsidRPr="00FA7A58" w:rsidRDefault="00D7008C" w:rsidP="00AA07DA">
      <w:pPr>
        <w:spacing w:before="120" w:after="120"/>
        <w:rPr>
          <w:rFonts w:asciiTheme="minorHAnsi" w:hAnsiTheme="minorHAnsi" w:cstheme="minorHAnsi"/>
          <w:bCs/>
          <w:iCs/>
          <w:color w:val="000000" w:themeColor="text1"/>
          <w:szCs w:val="20"/>
          <w:lang w:eastAsia="uk-UA"/>
        </w:rPr>
      </w:pPr>
      <w:r w:rsidRPr="00FA7A58">
        <w:rPr>
          <w:rFonts w:asciiTheme="minorHAnsi" w:hAnsiTheme="minorHAnsi" w:cstheme="minorHAnsi"/>
          <w:bCs/>
          <w:iCs/>
          <w:color w:val="000000" w:themeColor="text1"/>
          <w:szCs w:val="20"/>
          <w:lang w:eastAsia="uk-UA"/>
        </w:rPr>
        <w:t>Аналіз ліквідності полягає в порівнянні коштів по активу, згрупованих за ступенем їх ліквідності і розташованих у порядку убування ліквідності, із зобов'язаннями по пасиву, згрупованими за термінами їх погашення і розташованими у порядку зростання термінів погашення.</w:t>
      </w:r>
    </w:p>
    <w:tbl>
      <w:tblPr>
        <w:tblW w:w="5000" w:type="pct"/>
        <w:tblLook w:val="04A0" w:firstRow="1" w:lastRow="0" w:firstColumn="1" w:lastColumn="0" w:noHBand="0" w:noVBand="1"/>
      </w:tblPr>
      <w:tblGrid>
        <w:gridCol w:w="5515"/>
        <w:gridCol w:w="2062"/>
        <w:gridCol w:w="2060"/>
      </w:tblGrid>
      <w:tr w:rsidR="0026596E" w:rsidRPr="008756CD" w14:paraId="04755F85" w14:textId="77777777" w:rsidTr="004A2B7D">
        <w:trPr>
          <w:trHeight w:val="510"/>
          <w:tblHeader/>
        </w:trPr>
        <w:tc>
          <w:tcPr>
            <w:tcW w:w="2861" w:type="pct"/>
            <w:tcBorders>
              <w:bottom w:val="single" w:sz="4" w:space="0" w:color="auto"/>
            </w:tcBorders>
            <w:shd w:val="clear" w:color="auto" w:fill="auto"/>
            <w:vAlign w:val="center"/>
          </w:tcPr>
          <w:p w14:paraId="3E43E453" w14:textId="4A75ED16" w:rsidR="0026596E" w:rsidRPr="0026596E" w:rsidRDefault="0026596E" w:rsidP="0026596E">
            <w:pPr>
              <w:jc w:val="left"/>
              <w:rPr>
                <w:rFonts w:asciiTheme="minorHAnsi" w:hAnsiTheme="minorHAnsi" w:cstheme="minorHAnsi"/>
                <w:b/>
                <w:bCs/>
                <w:color w:val="000000" w:themeColor="text1"/>
                <w:szCs w:val="20"/>
              </w:rPr>
            </w:pPr>
            <w:r w:rsidRPr="0026596E">
              <w:rPr>
                <w:rFonts w:asciiTheme="minorHAnsi" w:hAnsiTheme="minorHAnsi" w:cstheme="minorHAnsi"/>
                <w:b/>
                <w:bCs/>
                <w:color w:val="000000" w:themeColor="text1"/>
                <w:szCs w:val="20"/>
              </w:rPr>
              <w:lastRenderedPageBreak/>
              <w:t>27.2 Активи у порядку убування ліквідності</w:t>
            </w:r>
          </w:p>
        </w:tc>
        <w:tc>
          <w:tcPr>
            <w:tcW w:w="1070" w:type="pct"/>
            <w:tcBorders>
              <w:bottom w:val="single" w:sz="4" w:space="0" w:color="auto"/>
            </w:tcBorders>
            <w:shd w:val="clear" w:color="auto" w:fill="auto"/>
            <w:vAlign w:val="center"/>
          </w:tcPr>
          <w:p w14:paraId="4D9B1752" w14:textId="45525573" w:rsidR="0026596E" w:rsidRPr="0026596E" w:rsidRDefault="0026596E" w:rsidP="0026596E">
            <w:pPr>
              <w:suppressAutoHyphens/>
              <w:ind w:right="11"/>
              <w:jc w:val="right"/>
              <w:rPr>
                <w:rFonts w:asciiTheme="minorHAnsi" w:hAnsiTheme="minorHAnsi" w:cstheme="minorHAnsi"/>
                <w:b/>
                <w:bCs/>
                <w:iCs/>
                <w:color w:val="000000" w:themeColor="text1"/>
                <w:szCs w:val="20"/>
                <w:lang w:val="ru-RU" w:eastAsia="uk-UA"/>
              </w:rPr>
            </w:pPr>
            <w:r w:rsidRPr="0026596E">
              <w:rPr>
                <w:rFonts w:asciiTheme="minorHAnsi" w:hAnsiTheme="minorHAnsi" w:cstheme="minorHAnsi"/>
                <w:b/>
                <w:color w:val="000000" w:themeColor="text1"/>
                <w:szCs w:val="20"/>
              </w:rPr>
              <w:t>31.12.2020</w:t>
            </w:r>
          </w:p>
        </w:tc>
        <w:tc>
          <w:tcPr>
            <w:tcW w:w="1069" w:type="pct"/>
            <w:tcBorders>
              <w:bottom w:val="single" w:sz="4" w:space="0" w:color="auto"/>
            </w:tcBorders>
            <w:vAlign w:val="center"/>
          </w:tcPr>
          <w:p w14:paraId="49CACF09" w14:textId="0F6A67FE" w:rsidR="0026596E" w:rsidRPr="0026596E" w:rsidRDefault="0026596E" w:rsidP="0026596E">
            <w:pPr>
              <w:suppressAutoHyphens/>
              <w:ind w:right="11"/>
              <w:jc w:val="right"/>
              <w:rPr>
                <w:rFonts w:asciiTheme="minorHAnsi" w:hAnsiTheme="minorHAnsi" w:cstheme="minorHAnsi"/>
                <w:b/>
                <w:bCs/>
                <w:iCs/>
                <w:color w:val="000000" w:themeColor="text1"/>
                <w:szCs w:val="20"/>
                <w:lang w:val="ru-RU" w:eastAsia="uk-UA"/>
              </w:rPr>
            </w:pPr>
            <w:r w:rsidRPr="0026596E">
              <w:rPr>
                <w:rFonts w:asciiTheme="minorHAnsi" w:hAnsiTheme="minorHAnsi" w:cstheme="minorHAnsi"/>
                <w:b/>
                <w:color w:val="000000" w:themeColor="text1"/>
                <w:szCs w:val="20"/>
              </w:rPr>
              <w:t>31.12.201</w:t>
            </w:r>
            <w:r w:rsidRPr="0026596E">
              <w:rPr>
                <w:rFonts w:asciiTheme="minorHAnsi" w:hAnsiTheme="minorHAnsi" w:cstheme="minorHAnsi"/>
                <w:b/>
                <w:color w:val="000000" w:themeColor="text1"/>
                <w:szCs w:val="20"/>
                <w:lang w:val="ru-RU"/>
              </w:rPr>
              <w:t>9</w:t>
            </w:r>
          </w:p>
        </w:tc>
      </w:tr>
      <w:tr w:rsidR="0026596E" w:rsidRPr="008756CD" w14:paraId="2A77E716" w14:textId="77777777" w:rsidTr="009F5DE3">
        <w:trPr>
          <w:trHeight w:val="255"/>
        </w:trPr>
        <w:tc>
          <w:tcPr>
            <w:tcW w:w="2861" w:type="pct"/>
            <w:tcBorders>
              <w:top w:val="single" w:sz="4" w:space="0" w:color="auto"/>
            </w:tcBorders>
            <w:shd w:val="clear" w:color="auto" w:fill="auto"/>
            <w:vAlign w:val="center"/>
          </w:tcPr>
          <w:p w14:paraId="25DE1D3A" w14:textId="77777777" w:rsidR="0026596E" w:rsidRPr="0026596E" w:rsidRDefault="0026596E" w:rsidP="0026596E">
            <w:pPr>
              <w:pStyle w:val="af7"/>
              <w:spacing w:before="0" w:after="0"/>
              <w:jc w:val="left"/>
              <w:rPr>
                <w:rFonts w:asciiTheme="minorHAnsi" w:hAnsiTheme="minorHAnsi" w:cstheme="minorHAnsi"/>
                <w:color w:val="000000" w:themeColor="text1"/>
                <w:szCs w:val="20"/>
              </w:rPr>
            </w:pPr>
            <w:r w:rsidRPr="0026596E">
              <w:rPr>
                <w:rFonts w:asciiTheme="minorHAnsi" w:hAnsiTheme="minorHAnsi" w:cstheme="minorHAnsi"/>
                <w:color w:val="000000" w:themeColor="text1"/>
                <w:szCs w:val="20"/>
              </w:rPr>
              <w:t>Найбільш ліквідні активи (А1)</w:t>
            </w:r>
          </w:p>
        </w:tc>
        <w:tc>
          <w:tcPr>
            <w:tcW w:w="1070" w:type="pct"/>
            <w:tcBorders>
              <w:top w:val="single" w:sz="4" w:space="0" w:color="auto"/>
            </w:tcBorders>
            <w:shd w:val="clear" w:color="auto" w:fill="auto"/>
            <w:vAlign w:val="center"/>
          </w:tcPr>
          <w:p w14:paraId="5513FE7B" w14:textId="7F7DFF79" w:rsidR="0026596E" w:rsidRPr="0026596E" w:rsidRDefault="0026596E" w:rsidP="0026596E">
            <w:pPr>
              <w:jc w:val="right"/>
              <w:rPr>
                <w:rFonts w:asciiTheme="minorHAnsi" w:hAnsiTheme="minorHAnsi" w:cstheme="minorHAnsi"/>
                <w:color w:val="000000" w:themeColor="text1"/>
                <w:szCs w:val="20"/>
                <w:lang w:val="ru-RU"/>
              </w:rPr>
            </w:pPr>
            <w:r w:rsidRPr="0026596E">
              <w:rPr>
                <w:color w:val="000000" w:themeColor="text1"/>
                <w:szCs w:val="20"/>
              </w:rPr>
              <w:t>11 960</w:t>
            </w:r>
          </w:p>
        </w:tc>
        <w:tc>
          <w:tcPr>
            <w:tcW w:w="1069" w:type="pct"/>
            <w:tcBorders>
              <w:top w:val="single" w:sz="4" w:space="0" w:color="auto"/>
            </w:tcBorders>
            <w:vAlign w:val="center"/>
          </w:tcPr>
          <w:p w14:paraId="7B16884D" w14:textId="2D986C57" w:rsidR="0026596E" w:rsidRPr="0026596E" w:rsidRDefault="0026596E" w:rsidP="0026596E">
            <w:pPr>
              <w:jc w:val="right"/>
              <w:rPr>
                <w:rFonts w:asciiTheme="minorHAnsi" w:hAnsiTheme="minorHAnsi" w:cstheme="minorHAnsi"/>
                <w:color w:val="000000" w:themeColor="text1"/>
                <w:szCs w:val="20"/>
              </w:rPr>
            </w:pPr>
            <w:r w:rsidRPr="0026596E">
              <w:rPr>
                <w:color w:val="000000" w:themeColor="text1"/>
                <w:szCs w:val="20"/>
              </w:rPr>
              <w:t>11 432</w:t>
            </w:r>
          </w:p>
        </w:tc>
      </w:tr>
      <w:tr w:rsidR="0026596E" w:rsidRPr="008756CD" w14:paraId="5120EE07" w14:textId="77777777" w:rsidTr="009F5DE3">
        <w:trPr>
          <w:trHeight w:val="255"/>
        </w:trPr>
        <w:tc>
          <w:tcPr>
            <w:tcW w:w="2861" w:type="pct"/>
            <w:shd w:val="clear" w:color="auto" w:fill="auto"/>
            <w:vAlign w:val="center"/>
          </w:tcPr>
          <w:p w14:paraId="54E90D3C" w14:textId="77777777" w:rsidR="0026596E" w:rsidRPr="0026596E" w:rsidRDefault="0026596E" w:rsidP="0026596E">
            <w:pPr>
              <w:pStyle w:val="af7"/>
              <w:spacing w:before="0" w:after="0"/>
              <w:jc w:val="left"/>
              <w:rPr>
                <w:rFonts w:asciiTheme="minorHAnsi" w:hAnsiTheme="minorHAnsi" w:cstheme="minorHAnsi"/>
                <w:color w:val="000000" w:themeColor="text1"/>
                <w:szCs w:val="20"/>
              </w:rPr>
            </w:pPr>
            <w:r w:rsidRPr="0026596E">
              <w:rPr>
                <w:rFonts w:asciiTheme="minorHAnsi" w:hAnsiTheme="minorHAnsi" w:cstheme="minorHAnsi"/>
                <w:color w:val="000000" w:themeColor="text1"/>
                <w:szCs w:val="20"/>
              </w:rPr>
              <w:t>Швидко реалізовані активи (А 2)</w:t>
            </w:r>
          </w:p>
        </w:tc>
        <w:tc>
          <w:tcPr>
            <w:tcW w:w="1070" w:type="pct"/>
            <w:shd w:val="clear" w:color="auto" w:fill="auto"/>
            <w:vAlign w:val="center"/>
          </w:tcPr>
          <w:p w14:paraId="0BAD9343" w14:textId="29790308" w:rsidR="0026596E" w:rsidRPr="0026596E" w:rsidRDefault="0026596E" w:rsidP="0026596E">
            <w:pPr>
              <w:jc w:val="right"/>
              <w:rPr>
                <w:rFonts w:asciiTheme="minorHAnsi" w:hAnsiTheme="minorHAnsi" w:cstheme="minorHAnsi"/>
                <w:color w:val="000000" w:themeColor="text1"/>
                <w:szCs w:val="20"/>
                <w:lang w:val="en-US"/>
              </w:rPr>
            </w:pPr>
            <w:r w:rsidRPr="0026596E">
              <w:rPr>
                <w:color w:val="000000" w:themeColor="text1"/>
                <w:szCs w:val="20"/>
              </w:rPr>
              <w:t>1 516 883</w:t>
            </w:r>
          </w:p>
        </w:tc>
        <w:tc>
          <w:tcPr>
            <w:tcW w:w="1069" w:type="pct"/>
            <w:vAlign w:val="center"/>
          </w:tcPr>
          <w:p w14:paraId="1CF72A5D" w14:textId="33021133" w:rsidR="0026596E" w:rsidRPr="0026596E" w:rsidRDefault="0026596E" w:rsidP="0026596E">
            <w:pPr>
              <w:jc w:val="right"/>
              <w:rPr>
                <w:rFonts w:asciiTheme="minorHAnsi" w:hAnsiTheme="minorHAnsi" w:cstheme="minorHAnsi"/>
                <w:color w:val="000000" w:themeColor="text1"/>
                <w:szCs w:val="20"/>
              </w:rPr>
            </w:pPr>
            <w:r w:rsidRPr="0026596E">
              <w:rPr>
                <w:color w:val="000000" w:themeColor="text1"/>
                <w:szCs w:val="20"/>
              </w:rPr>
              <w:t>1 466 868</w:t>
            </w:r>
          </w:p>
        </w:tc>
      </w:tr>
      <w:tr w:rsidR="0026596E" w:rsidRPr="008756CD" w14:paraId="31D59D50" w14:textId="77777777" w:rsidTr="009F5DE3">
        <w:trPr>
          <w:trHeight w:val="255"/>
        </w:trPr>
        <w:tc>
          <w:tcPr>
            <w:tcW w:w="2861" w:type="pct"/>
            <w:shd w:val="clear" w:color="auto" w:fill="auto"/>
            <w:vAlign w:val="center"/>
          </w:tcPr>
          <w:p w14:paraId="77585DE1" w14:textId="77777777" w:rsidR="0026596E" w:rsidRPr="0026596E" w:rsidRDefault="0026596E" w:rsidP="0026596E">
            <w:pPr>
              <w:pStyle w:val="af7"/>
              <w:spacing w:before="0" w:after="0"/>
              <w:jc w:val="left"/>
              <w:rPr>
                <w:rFonts w:asciiTheme="minorHAnsi" w:hAnsiTheme="minorHAnsi" w:cstheme="minorHAnsi"/>
                <w:color w:val="000000" w:themeColor="text1"/>
                <w:szCs w:val="20"/>
              </w:rPr>
            </w:pPr>
            <w:r w:rsidRPr="0026596E">
              <w:rPr>
                <w:rFonts w:asciiTheme="minorHAnsi" w:hAnsiTheme="minorHAnsi" w:cstheme="minorHAnsi"/>
                <w:color w:val="000000" w:themeColor="text1"/>
                <w:szCs w:val="20"/>
              </w:rPr>
              <w:t>Повільно реалізовані активи (А3)</w:t>
            </w:r>
          </w:p>
        </w:tc>
        <w:tc>
          <w:tcPr>
            <w:tcW w:w="1070" w:type="pct"/>
            <w:shd w:val="clear" w:color="auto" w:fill="auto"/>
            <w:vAlign w:val="center"/>
          </w:tcPr>
          <w:p w14:paraId="14166AB1" w14:textId="53F29622" w:rsidR="0026596E" w:rsidRPr="0026596E" w:rsidRDefault="0026596E" w:rsidP="0026596E">
            <w:pPr>
              <w:jc w:val="right"/>
              <w:rPr>
                <w:rFonts w:asciiTheme="minorHAnsi" w:hAnsiTheme="minorHAnsi" w:cstheme="minorHAnsi"/>
                <w:color w:val="000000" w:themeColor="text1"/>
                <w:szCs w:val="20"/>
                <w:lang w:val="ru-RU"/>
              </w:rPr>
            </w:pPr>
            <w:r w:rsidRPr="0026596E">
              <w:rPr>
                <w:color w:val="000000" w:themeColor="text1"/>
                <w:szCs w:val="20"/>
              </w:rPr>
              <w:t>445 311</w:t>
            </w:r>
          </w:p>
        </w:tc>
        <w:tc>
          <w:tcPr>
            <w:tcW w:w="1069" w:type="pct"/>
            <w:vAlign w:val="center"/>
          </w:tcPr>
          <w:p w14:paraId="3B07B5C8" w14:textId="3DD4ADAD" w:rsidR="0026596E" w:rsidRPr="0026596E" w:rsidRDefault="0026596E" w:rsidP="0026596E">
            <w:pPr>
              <w:jc w:val="right"/>
              <w:rPr>
                <w:rFonts w:asciiTheme="minorHAnsi" w:hAnsiTheme="minorHAnsi" w:cstheme="minorHAnsi"/>
                <w:color w:val="000000" w:themeColor="text1"/>
                <w:szCs w:val="20"/>
                <w:lang w:val="ru-RU"/>
              </w:rPr>
            </w:pPr>
            <w:r w:rsidRPr="0026596E">
              <w:rPr>
                <w:color w:val="000000" w:themeColor="text1"/>
                <w:szCs w:val="20"/>
              </w:rPr>
              <w:t>369 327</w:t>
            </w:r>
          </w:p>
        </w:tc>
      </w:tr>
      <w:tr w:rsidR="0026596E" w:rsidRPr="008756CD" w14:paraId="39B807B8" w14:textId="77777777" w:rsidTr="009F5DE3">
        <w:trPr>
          <w:trHeight w:val="255"/>
        </w:trPr>
        <w:tc>
          <w:tcPr>
            <w:tcW w:w="2861" w:type="pct"/>
            <w:tcBorders>
              <w:bottom w:val="single" w:sz="4" w:space="0" w:color="auto"/>
            </w:tcBorders>
            <w:shd w:val="clear" w:color="auto" w:fill="auto"/>
            <w:vAlign w:val="center"/>
          </w:tcPr>
          <w:p w14:paraId="6B00CFDD" w14:textId="77777777" w:rsidR="0026596E" w:rsidRPr="0026596E" w:rsidRDefault="0026596E" w:rsidP="0026596E">
            <w:pPr>
              <w:pStyle w:val="af7"/>
              <w:spacing w:before="0" w:after="0"/>
              <w:jc w:val="left"/>
              <w:rPr>
                <w:rFonts w:asciiTheme="minorHAnsi" w:hAnsiTheme="minorHAnsi" w:cstheme="minorHAnsi"/>
                <w:color w:val="000000" w:themeColor="text1"/>
                <w:szCs w:val="20"/>
              </w:rPr>
            </w:pPr>
            <w:r w:rsidRPr="0026596E">
              <w:rPr>
                <w:rFonts w:asciiTheme="minorHAnsi" w:hAnsiTheme="minorHAnsi" w:cstheme="minorHAnsi"/>
                <w:color w:val="000000" w:themeColor="text1"/>
                <w:szCs w:val="20"/>
              </w:rPr>
              <w:t>Важко реалізовані активи (А4)</w:t>
            </w:r>
          </w:p>
        </w:tc>
        <w:tc>
          <w:tcPr>
            <w:tcW w:w="1070" w:type="pct"/>
            <w:tcBorders>
              <w:bottom w:val="single" w:sz="4" w:space="0" w:color="auto"/>
            </w:tcBorders>
            <w:shd w:val="clear" w:color="auto" w:fill="auto"/>
            <w:vAlign w:val="center"/>
          </w:tcPr>
          <w:p w14:paraId="19334E45" w14:textId="78F539EF" w:rsidR="0026596E" w:rsidRPr="0026596E" w:rsidRDefault="0026596E" w:rsidP="0026596E">
            <w:pPr>
              <w:jc w:val="right"/>
              <w:rPr>
                <w:rFonts w:asciiTheme="minorHAnsi" w:hAnsiTheme="minorHAnsi" w:cstheme="minorHAnsi"/>
                <w:color w:val="000000" w:themeColor="text1"/>
                <w:szCs w:val="20"/>
                <w:lang w:val="ru-RU"/>
              </w:rPr>
            </w:pPr>
            <w:r w:rsidRPr="0026596E">
              <w:rPr>
                <w:color w:val="000000" w:themeColor="text1"/>
                <w:szCs w:val="20"/>
              </w:rPr>
              <w:t>423 009</w:t>
            </w:r>
          </w:p>
        </w:tc>
        <w:tc>
          <w:tcPr>
            <w:tcW w:w="1069" w:type="pct"/>
            <w:tcBorders>
              <w:bottom w:val="single" w:sz="4" w:space="0" w:color="auto"/>
            </w:tcBorders>
            <w:vAlign w:val="center"/>
          </w:tcPr>
          <w:p w14:paraId="604E5FA4" w14:textId="5A84498F" w:rsidR="0026596E" w:rsidRPr="0026596E" w:rsidRDefault="0026596E" w:rsidP="0026596E">
            <w:pPr>
              <w:jc w:val="right"/>
              <w:rPr>
                <w:rFonts w:asciiTheme="minorHAnsi" w:hAnsiTheme="minorHAnsi" w:cstheme="minorHAnsi"/>
                <w:color w:val="000000" w:themeColor="text1"/>
                <w:szCs w:val="20"/>
                <w:lang w:val="ru-RU"/>
              </w:rPr>
            </w:pPr>
            <w:r w:rsidRPr="0026596E">
              <w:rPr>
                <w:color w:val="000000" w:themeColor="text1"/>
                <w:szCs w:val="20"/>
              </w:rPr>
              <w:t>374 356</w:t>
            </w:r>
          </w:p>
        </w:tc>
      </w:tr>
      <w:tr w:rsidR="0026596E" w:rsidRPr="004F7691" w14:paraId="198046D0" w14:textId="77777777" w:rsidTr="009F5DE3">
        <w:trPr>
          <w:trHeight w:val="255"/>
        </w:trPr>
        <w:tc>
          <w:tcPr>
            <w:tcW w:w="2861" w:type="pct"/>
            <w:tcBorders>
              <w:top w:val="single" w:sz="4" w:space="0" w:color="auto"/>
            </w:tcBorders>
            <w:shd w:val="clear" w:color="auto" w:fill="auto"/>
            <w:vAlign w:val="center"/>
          </w:tcPr>
          <w:p w14:paraId="640D0252" w14:textId="77777777" w:rsidR="0026596E" w:rsidRPr="004F7691" w:rsidRDefault="0026596E" w:rsidP="0026596E">
            <w:pPr>
              <w:pStyle w:val="af7"/>
              <w:spacing w:before="0" w:after="0"/>
              <w:jc w:val="lef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Разом:</w:t>
            </w:r>
          </w:p>
        </w:tc>
        <w:tc>
          <w:tcPr>
            <w:tcW w:w="1070" w:type="pct"/>
            <w:tcBorders>
              <w:top w:val="single" w:sz="4" w:space="0" w:color="auto"/>
            </w:tcBorders>
            <w:shd w:val="clear" w:color="auto" w:fill="auto"/>
            <w:vAlign w:val="center"/>
          </w:tcPr>
          <w:p w14:paraId="621EF3E1" w14:textId="57FE9B5B" w:rsidR="0026596E" w:rsidRPr="004F7691" w:rsidRDefault="0026596E" w:rsidP="0026596E">
            <w:pPr>
              <w:jc w:val="right"/>
              <w:rPr>
                <w:rFonts w:asciiTheme="minorHAnsi" w:hAnsiTheme="minorHAnsi" w:cstheme="minorHAnsi"/>
                <w:b/>
                <w:bCs/>
                <w:color w:val="000000" w:themeColor="text1"/>
                <w:szCs w:val="20"/>
                <w:lang w:val="en-US"/>
              </w:rPr>
            </w:pPr>
            <w:r w:rsidRPr="004F7691">
              <w:rPr>
                <w:b/>
                <w:bCs/>
                <w:color w:val="000000" w:themeColor="text1"/>
                <w:szCs w:val="20"/>
              </w:rPr>
              <w:t>2 397 163</w:t>
            </w:r>
          </w:p>
        </w:tc>
        <w:tc>
          <w:tcPr>
            <w:tcW w:w="1069" w:type="pct"/>
            <w:tcBorders>
              <w:top w:val="single" w:sz="4" w:space="0" w:color="auto"/>
            </w:tcBorders>
            <w:vAlign w:val="center"/>
          </w:tcPr>
          <w:p w14:paraId="587EF4C0" w14:textId="422A1931" w:rsidR="0026596E" w:rsidRPr="004F7691" w:rsidRDefault="0026596E" w:rsidP="0026596E">
            <w:pPr>
              <w:jc w:val="right"/>
              <w:rPr>
                <w:rFonts w:asciiTheme="minorHAnsi" w:hAnsiTheme="minorHAnsi" w:cstheme="minorHAnsi"/>
                <w:b/>
                <w:bCs/>
                <w:color w:val="000000" w:themeColor="text1"/>
                <w:szCs w:val="20"/>
                <w:lang w:val="ru-RU"/>
              </w:rPr>
            </w:pPr>
            <w:r w:rsidRPr="004F7691">
              <w:rPr>
                <w:b/>
                <w:bCs/>
                <w:color w:val="000000" w:themeColor="text1"/>
                <w:szCs w:val="20"/>
              </w:rPr>
              <w:t>2 221 983</w:t>
            </w:r>
          </w:p>
        </w:tc>
      </w:tr>
    </w:tbl>
    <w:p w14:paraId="73ECE2BA" w14:textId="4F264F58" w:rsidR="007C1876" w:rsidRPr="004F7691" w:rsidRDefault="007C1876" w:rsidP="004A2B7D">
      <w:pPr>
        <w:spacing w:before="120" w:after="120"/>
        <w:rPr>
          <w:rFonts w:asciiTheme="minorHAnsi" w:hAnsiTheme="minorHAnsi" w:cstheme="minorHAnsi"/>
          <w:bCs/>
          <w:iCs/>
          <w:color w:val="000000" w:themeColor="text1"/>
          <w:szCs w:val="20"/>
          <w:lang w:eastAsia="uk-UA"/>
        </w:rPr>
      </w:pPr>
    </w:p>
    <w:tbl>
      <w:tblPr>
        <w:tblW w:w="5000" w:type="pct"/>
        <w:tblLook w:val="04A0" w:firstRow="1" w:lastRow="0" w:firstColumn="1" w:lastColumn="0" w:noHBand="0" w:noVBand="1"/>
      </w:tblPr>
      <w:tblGrid>
        <w:gridCol w:w="5515"/>
        <w:gridCol w:w="2062"/>
        <w:gridCol w:w="2060"/>
      </w:tblGrid>
      <w:tr w:rsidR="0026596E" w:rsidRPr="004F7691" w14:paraId="1FBFADB1" w14:textId="77777777" w:rsidTr="004A2B7D">
        <w:trPr>
          <w:trHeight w:val="510"/>
          <w:tblHeader/>
        </w:trPr>
        <w:tc>
          <w:tcPr>
            <w:tcW w:w="2861" w:type="pct"/>
            <w:tcBorders>
              <w:bottom w:val="single" w:sz="4" w:space="0" w:color="auto"/>
            </w:tcBorders>
            <w:shd w:val="clear" w:color="auto" w:fill="auto"/>
            <w:vAlign w:val="center"/>
          </w:tcPr>
          <w:p w14:paraId="61C2FE44" w14:textId="16D99B95" w:rsidR="0026596E" w:rsidRPr="004F7691" w:rsidRDefault="0026596E" w:rsidP="0026596E">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27.3 Пасиви у порядку зростання термінів погашення</w:t>
            </w:r>
          </w:p>
        </w:tc>
        <w:tc>
          <w:tcPr>
            <w:tcW w:w="1070" w:type="pct"/>
            <w:tcBorders>
              <w:bottom w:val="single" w:sz="4" w:space="0" w:color="auto"/>
            </w:tcBorders>
            <w:shd w:val="clear" w:color="auto" w:fill="auto"/>
            <w:vAlign w:val="center"/>
          </w:tcPr>
          <w:p w14:paraId="10A16AEC" w14:textId="3055BB13" w:rsidR="0026596E" w:rsidRPr="004F7691" w:rsidRDefault="0026596E" w:rsidP="0026596E">
            <w:pPr>
              <w:suppressAutoHyphens/>
              <w:ind w:right="11"/>
              <w:jc w:val="right"/>
              <w:rPr>
                <w:rFonts w:asciiTheme="minorHAnsi" w:hAnsiTheme="minorHAnsi" w:cstheme="minorHAnsi"/>
                <w:b/>
                <w:bCs/>
                <w:iCs/>
                <w:color w:val="000000" w:themeColor="text1"/>
                <w:szCs w:val="20"/>
                <w:lang w:val="ru-RU" w:eastAsia="uk-UA"/>
              </w:rPr>
            </w:pPr>
            <w:r w:rsidRPr="004F7691">
              <w:rPr>
                <w:rFonts w:asciiTheme="minorHAnsi" w:hAnsiTheme="minorHAnsi" w:cstheme="minorHAnsi"/>
                <w:b/>
                <w:color w:val="000000" w:themeColor="text1"/>
                <w:szCs w:val="20"/>
              </w:rPr>
              <w:t>31.12.2020</w:t>
            </w:r>
          </w:p>
        </w:tc>
        <w:tc>
          <w:tcPr>
            <w:tcW w:w="1069" w:type="pct"/>
            <w:tcBorders>
              <w:bottom w:val="single" w:sz="4" w:space="0" w:color="auto"/>
            </w:tcBorders>
            <w:vAlign w:val="center"/>
          </w:tcPr>
          <w:p w14:paraId="4F6BD854" w14:textId="77777777" w:rsidR="0026596E" w:rsidRDefault="0026596E" w:rsidP="0026596E">
            <w:pPr>
              <w:suppressAutoHyphens/>
              <w:ind w:right="11"/>
              <w:jc w:val="right"/>
              <w:rPr>
                <w:rFonts w:asciiTheme="minorHAnsi" w:hAnsiTheme="minorHAnsi" w:cstheme="minorHAnsi"/>
                <w:b/>
                <w:color w:val="000000" w:themeColor="text1"/>
                <w:szCs w:val="20"/>
                <w:lang w:val="ru-RU"/>
              </w:rPr>
            </w:pPr>
            <w:r w:rsidRPr="004F7691">
              <w:rPr>
                <w:rFonts w:asciiTheme="minorHAnsi" w:hAnsiTheme="minorHAnsi" w:cstheme="minorHAnsi"/>
                <w:b/>
                <w:color w:val="000000" w:themeColor="text1"/>
                <w:szCs w:val="20"/>
              </w:rPr>
              <w:t>31.12.201</w:t>
            </w:r>
            <w:r w:rsidRPr="004F7691">
              <w:rPr>
                <w:rFonts w:asciiTheme="minorHAnsi" w:hAnsiTheme="minorHAnsi" w:cstheme="minorHAnsi"/>
                <w:b/>
                <w:color w:val="000000" w:themeColor="text1"/>
                <w:szCs w:val="20"/>
                <w:lang w:val="ru-RU"/>
              </w:rPr>
              <w:t>9</w:t>
            </w:r>
          </w:p>
          <w:p w14:paraId="6C7A0286" w14:textId="7EE93E76" w:rsidR="00B80DA9" w:rsidRPr="004F7691" w:rsidRDefault="00B80DA9" w:rsidP="0026596E">
            <w:pPr>
              <w:suppressAutoHyphens/>
              <w:ind w:right="11"/>
              <w:jc w:val="right"/>
              <w:rPr>
                <w:rFonts w:asciiTheme="minorHAnsi" w:hAnsiTheme="minorHAnsi" w:cstheme="minorHAnsi"/>
                <w:b/>
                <w:bCs/>
                <w:iCs/>
                <w:color w:val="000000" w:themeColor="text1"/>
                <w:szCs w:val="20"/>
                <w:lang w:val="ru-RU" w:eastAsia="uk-UA"/>
              </w:rPr>
            </w:pPr>
            <w:r>
              <w:rPr>
                <w:rFonts w:asciiTheme="minorHAnsi" w:hAnsiTheme="minorHAnsi" w:cstheme="minorHAnsi"/>
                <w:b/>
                <w:color w:val="000000" w:themeColor="text1"/>
                <w:szCs w:val="20"/>
                <w:lang w:val="ru-RU"/>
              </w:rPr>
              <w:t>(перераховано)</w:t>
            </w:r>
          </w:p>
        </w:tc>
      </w:tr>
      <w:tr w:rsidR="004F7691" w:rsidRPr="004F7691" w14:paraId="3D1472BE" w14:textId="77777777" w:rsidTr="009F5DE3">
        <w:trPr>
          <w:trHeight w:val="255"/>
        </w:trPr>
        <w:tc>
          <w:tcPr>
            <w:tcW w:w="2861" w:type="pct"/>
            <w:tcBorders>
              <w:top w:val="single" w:sz="4" w:space="0" w:color="auto"/>
            </w:tcBorders>
            <w:shd w:val="clear" w:color="auto" w:fill="auto"/>
            <w:vAlign w:val="center"/>
          </w:tcPr>
          <w:p w14:paraId="17771F11"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Найбільш термінові зобов'язання (П1)</w:t>
            </w:r>
          </w:p>
        </w:tc>
        <w:tc>
          <w:tcPr>
            <w:tcW w:w="1070" w:type="pct"/>
            <w:tcBorders>
              <w:top w:val="single" w:sz="4" w:space="0" w:color="auto"/>
            </w:tcBorders>
            <w:shd w:val="clear" w:color="auto" w:fill="auto"/>
            <w:vAlign w:val="center"/>
          </w:tcPr>
          <w:p w14:paraId="4FEF98C1" w14:textId="114A8A92" w:rsidR="004F7691" w:rsidRPr="004F7691" w:rsidRDefault="004F7691" w:rsidP="004F7691">
            <w:pPr>
              <w:jc w:val="right"/>
              <w:rPr>
                <w:rFonts w:asciiTheme="minorHAnsi" w:hAnsiTheme="minorHAnsi" w:cstheme="minorHAnsi"/>
                <w:color w:val="000000" w:themeColor="text1"/>
                <w:szCs w:val="20"/>
                <w:lang w:val="en-US"/>
              </w:rPr>
            </w:pPr>
            <w:r w:rsidRPr="004F7691">
              <w:rPr>
                <w:color w:val="000000" w:themeColor="text1"/>
                <w:szCs w:val="20"/>
              </w:rPr>
              <w:t>1 114 840</w:t>
            </w:r>
          </w:p>
        </w:tc>
        <w:tc>
          <w:tcPr>
            <w:tcW w:w="1069" w:type="pct"/>
            <w:tcBorders>
              <w:top w:val="single" w:sz="4" w:space="0" w:color="auto"/>
            </w:tcBorders>
            <w:vAlign w:val="center"/>
          </w:tcPr>
          <w:p w14:paraId="35C40C31" w14:textId="4C45C21D" w:rsidR="004F7691" w:rsidRPr="004F7691" w:rsidRDefault="004F7691" w:rsidP="00B80DA9">
            <w:pPr>
              <w:jc w:val="right"/>
              <w:rPr>
                <w:rFonts w:asciiTheme="minorHAnsi" w:hAnsiTheme="minorHAnsi" w:cstheme="minorHAnsi"/>
                <w:color w:val="000000" w:themeColor="text1"/>
                <w:szCs w:val="20"/>
              </w:rPr>
            </w:pPr>
            <w:r w:rsidRPr="004F7691">
              <w:rPr>
                <w:color w:val="000000" w:themeColor="text1"/>
                <w:szCs w:val="20"/>
              </w:rPr>
              <w:t xml:space="preserve">969 </w:t>
            </w:r>
            <w:r w:rsidR="00B80DA9">
              <w:rPr>
                <w:color w:val="000000" w:themeColor="text1"/>
                <w:szCs w:val="20"/>
              </w:rPr>
              <w:t>527</w:t>
            </w:r>
          </w:p>
        </w:tc>
      </w:tr>
      <w:tr w:rsidR="004F7691" w:rsidRPr="004F7691" w14:paraId="5E0AE81E" w14:textId="77777777" w:rsidTr="009F5DE3">
        <w:trPr>
          <w:trHeight w:val="255"/>
        </w:trPr>
        <w:tc>
          <w:tcPr>
            <w:tcW w:w="2861" w:type="pct"/>
            <w:shd w:val="clear" w:color="auto" w:fill="auto"/>
            <w:vAlign w:val="center"/>
          </w:tcPr>
          <w:p w14:paraId="5482ACAD"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Короткострокові пасиви (П2)</w:t>
            </w:r>
          </w:p>
        </w:tc>
        <w:tc>
          <w:tcPr>
            <w:tcW w:w="1070" w:type="pct"/>
            <w:shd w:val="clear" w:color="auto" w:fill="auto"/>
            <w:vAlign w:val="center"/>
          </w:tcPr>
          <w:p w14:paraId="342757E4" w14:textId="4ACD3A67"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532 692</w:t>
            </w:r>
          </w:p>
        </w:tc>
        <w:tc>
          <w:tcPr>
            <w:tcW w:w="1069" w:type="pct"/>
            <w:vAlign w:val="center"/>
          </w:tcPr>
          <w:p w14:paraId="6463A702" w14:textId="79F3EB4B"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532 692</w:t>
            </w:r>
          </w:p>
        </w:tc>
      </w:tr>
      <w:tr w:rsidR="004F7691" w:rsidRPr="004F7691" w14:paraId="1F37F726" w14:textId="77777777" w:rsidTr="009F5DE3">
        <w:trPr>
          <w:trHeight w:val="255"/>
        </w:trPr>
        <w:tc>
          <w:tcPr>
            <w:tcW w:w="2861" w:type="pct"/>
            <w:shd w:val="clear" w:color="auto" w:fill="auto"/>
            <w:vAlign w:val="center"/>
          </w:tcPr>
          <w:p w14:paraId="6377B26B"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Довгострокові пасиви (П3)</w:t>
            </w:r>
          </w:p>
        </w:tc>
        <w:tc>
          <w:tcPr>
            <w:tcW w:w="1070" w:type="pct"/>
            <w:shd w:val="clear" w:color="auto" w:fill="auto"/>
            <w:vAlign w:val="center"/>
          </w:tcPr>
          <w:p w14:paraId="0204A5D1" w14:textId="23B247E2" w:rsidR="004F7691" w:rsidRPr="004F7691" w:rsidRDefault="004F7691" w:rsidP="004F7691">
            <w:pPr>
              <w:jc w:val="right"/>
              <w:rPr>
                <w:rFonts w:asciiTheme="minorHAnsi" w:hAnsiTheme="minorHAnsi" w:cstheme="minorHAnsi"/>
                <w:color w:val="000000" w:themeColor="text1"/>
                <w:szCs w:val="20"/>
                <w:lang w:val="ru-RU"/>
              </w:rPr>
            </w:pPr>
            <w:r w:rsidRPr="004F7691">
              <w:rPr>
                <w:color w:val="000000" w:themeColor="text1"/>
                <w:szCs w:val="20"/>
              </w:rPr>
              <w:t>46 788</w:t>
            </w:r>
          </w:p>
        </w:tc>
        <w:tc>
          <w:tcPr>
            <w:tcW w:w="1069" w:type="pct"/>
            <w:vAlign w:val="center"/>
          </w:tcPr>
          <w:p w14:paraId="0759E878" w14:textId="34282E88"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50 253</w:t>
            </w:r>
          </w:p>
        </w:tc>
      </w:tr>
      <w:tr w:rsidR="004F7691" w:rsidRPr="004F7691" w14:paraId="75301B49" w14:textId="77777777" w:rsidTr="009F5DE3">
        <w:trPr>
          <w:trHeight w:val="255"/>
        </w:trPr>
        <w:tc>
          <w:tcPr>
            <w:tcW w:w="2861" w:type="pct"/>
            <w:tcBorders>
              <w:bottom w:val="single" w:sz="4" w:space="0" w:color="auto"/>
            </w:tcBorders>
            <w:shd w:val="clear" w:color="auto" w:fill="auto"/>
            <w:vAlign w:val="center"/>
          </w:tcPr>
          <w:p w14:paraId="41113613"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Власний капітал (П4)</w:t>
            </w:r>
          </w:p>
        </w:tc>
        <w:tc>
          <w:tcPr>
            <w:tcW w:w="1070" w:type="pct"/>
            <w:tcBorders>
              <w:bottom w:val="single" w:sz="4" w:space="0" w:color="auto"/>
            </w:tcBorders>
            <w:shd w:val="clear" w:color="auto" w:fill="auto"/>
            <w:vAlign w:val="center"/>
          </w:tcPr>
          <w:p w14:paraId="4C545A38" w14:textId="1FF69ACD" w:rsidR="004F7691" w:rsidRPr="004F7691" w:rsidRDefault="004F7691" w:rsidP="004F7691">
            <w:pPr>
              <w:jc w:val="right"/>
              <w:rPr>
                <w:rFonts w:asciiTheme="minorHAnsi" w:hAnsiTheme="minorHAnsi" w:cstheme="minorHAnsi"/>
                <w:color w:val="000000" w:themeColor="text1"/>
                <w:szCs w:val="20"/>
                <w:lang w:val="ru-RU"/>
              </w:rPr>
            </w:pPr>
            <w:r w:rsidRPr="004F7691">
              <w:rPr>
                <w:color w:val="000000" w:themeColor="text1"/>
                <w:szCs w:val="20"/>
              </w:rPr>
              <w:t>702 843</w:t>
            </w:r>
          </w:p>
        </w:tc>
        <w:tc>
          <w:tcPr>
            <w:tcW w:w="1069" w:type="pct"/>
            <w:tcBorders>
              <w:bottom w:val="single" w:sz="4" w:space="0" w:color="auto"/>
            </w:tcBorders>
            <w:vAlign w:val="center"/>
          </w:tcPr>
          <w:p w14:paraId="5B15FA4C" w14:textId="0754835F" w:rsidR="004F7691" w:rsidRPr="004F7691" w:rsidRDefault="004F7691" w:rsidP="00B80DA9">
            <w:pPr>
              <w:jc w:val="right"/>
              <w:rPr>
                <w:rFonts w:asciiTheme="minorHAnsi" w:hAnsiTheme="minorHAnsi" w:cstheme="minorHAnsi"/>
                <w:color w:val="000000" w:themeColor="text1"/>
                <w:szCs w:val="20"/>
                <w:lang w:val="ru-RU"/>
              </w:rPr>
            </w:pPr>
            <w:r w:rsidRPr="004F7691">
              <w:rPr>
                <w:color w:val="000000" w:themeColor="text1"/>
                <w:szCs w:val="20"/>
              </w:rPr>
              <w:t xml:space="preserve">669 </w:t>
            </w:r>
            <w:r w:rsidR="00B80DA9">
              <w:rPr>
                <w:color w:val="000000" w:themeColor="text1"/>
                <w:szCs w:val="20"/>
              </w:rPr>
              <w:t>511</w:t>
            </w:r>
          </w:p>
        </w:tc>
      </w:tr>
      <w:tr w:rsidR="004F7691" w:rsidRPr="004F7691" w14:paraId="29ED1CE3" w14:textId="77777777" w:rsidTr="009F5DE3">
        <w:trPr>
          <w:trHeight w:val="255"/>
        </w:trPr>
        <w:tc>
          <w:tcPr>
            <w:tcW w:w="2861" w:type="pct"/>
            <w:tcBorders>
              <w:top w:val="single" w:sz="4" w:space="0" w:color="auto"/>
            </w:tcBorders>
            <w:shd w:val="clear" w:color="auto" w:fill="auto"/>
            <w:vAlign w:val="center"/>
          </w:tcPr>
          <w:p w14:paraId="5193AC04" w14:textId="77777777" w:rsidR="004F7691" w:rsidRPr="004F7691" w:rsidRDefault="004F7691" w:rsidP="004F7691">
            <w:pPr>
              <w:pStyle w:val="af7"/>
              <w:spacing w:before="0" w:after="0"/>
              <w:jc w:val="lef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Разом:</w:t>
            </w:r>
          </w:p>
        </w:tc>
        <w:tc>
          <w:tcPr>
            <w:tcW w:w="1070" w:type="pct"/>
            <w:tcBorders>
              <w:top w:val="single" w:sz="4" w:space="0" w:color="auto"/>
            </w:tcBorders>
            <w:shd w:val="clear" w:color="auto" w:fill="auto"/>
            <w:vAlign w:val="center"/>
          </w:tcPr>
          <w:p w14:paraId="293AEFE5" w14:textId="5114EDAE" w:rsidR="004F7691" w:rsidRPr="004F7691" w:rsidRDefault="004F7691" w:rsidP="004F7691">
            <w:pPr>
              <w:jc w:val="right"/>
              <w:rPr>
                <w:rFonts w:asciiTheme="minorHAnsi" w:hAnsiTheme="minorHAnsi" w:cstheme="minorHAnsi"/>
                <w:b/>
                <w:bCs/>
                <w:color w:val="000000" w:themeColor="text1"/>
                <w:szCs w:val="20"/>
                <w:lang w:val="en-US"/>
              </w:rPr>
            </w:pPr>
            <w:r w:rsidRPr="004F7691">
              <w:rPr>
                <w:b/>
                <w:bCs/>
                <w:color w:val="000000" w:themeColor="text1"/>
                <w:szCs w:val="20"/>
              </w:rPr>
              <w:t>2 397 163</w:t>
            </w:r>
          </w:p>
        </w:tc>
        <w:tc>
          <w:tcPr>
            <w:tcW w:w="1069" w:type="pct"/>
            <w:tcBorders>
              <w:top w:val="single" w:sz="4" w:space="0" w:color="auto"/>
            </w:tcBorders>
            <w:vAlign w:val="center"/>
          </w:tcPr>
          <w:p w14:paraId="5511E0E2" w14:textId="4CBCA5B8" w:rsidR="004F7691" w:rsidRPr="004F7691" w:rsidRDefault="004F7691" w:rsidP="004F7691">
            <w:pPr>
              <w:jc w:val="right"/>
              <w:rPr>
                <w:rFonts w:asciiTheme="minorHAnsi" w:hAnsiTheme="minorHAnsi" w:cstheme="minorHAnsi"/>
                <w:b/>
                <w:bCs/>
                <w:color w:val="000000" w:themeColor="text1"/>
                <w:szCs w:val="20"/>
                <w:lang w:val="ru-RU"/>
              </w:rPr>
            </w:pPr>
            <w:r w:rsidRPr="004F7691">
              <w:rPr>
                <w:b/>
                <w:bCs/>
                <w:color w:val="000000" w:themeColor="text1"/>
                <w:szCs w:val="20"/>
              </w:rPr>
              <w:t>2 221 983</w:t>
            </w:r>
          </w:p>
        </w:tc>
      </w:tr>
    </w:tbl>
    <w:p w14:paraId="087A01B1" w14:textId="3B05DE88" w:rsidR="00D7008C" w:rsidRPr="004F7691" w:rsidRDefault="00D7008C" w:rsidP="003547BB">
      <w:pPr>
        <w:spacing w:before="240" w:after="120"/>
        <w:rPr>
          <w:rFonts w:asciiTheme="minorHAnsi" w:hAnsiTheme="minorHAnsi" w:cstheme="minorHAnsi"/>
          <w:bCs/>
          <w:iCs/>
          <w:color w:val="000000" w:themeColor="text1"/>
          <w:szCs w:val="20"/>
          <w:lang w:eastAsia="uk-UA"/>
        </w:rPr>
      </w:pPr>
      <w:r w:rsidRPr="004F7691">
        <w:rPr>
          <w:rFonts w:asciiTheme="minorHAnsi" w:hAnsiTheme="minorHAnsi" w:cstheme="minorHAnsi"/>
          <w:bCs/>
          <w:iCs/>
          <w:color w:val="000000" w:themeColor="text1"/>
          <w:szCs w:val="20"/>
          <w:lang w:eastAsia="uk-UA"/>
        </w:rPr>
        <w:t xml:space="preserve">У таблиці нижче визначено абсолютні величини платіжних </w:t>
      </w:r>
      <w:r w:rsidR="003E2A30" w:rsidRPr="004F7691">
        <w:rPr>
          <w:rFonts w:asciiTheme="minorHAnsi" w:hAnsiTheme="minorHAnsi" w:cstheme="minorHAnsi"/>
          <w:bCs/>
          <w:iCs/>
          <w:color w:val="000000" w:themeColor="text1"/>
          <w:szCs w:val="20"/>
          <w:lang w:eastAsia="uk-UA"/>
        </w:rPr>
        <w:t>н</w:t>
      </w:r>
      <w:r w:rsidR="004F7691" w:rsidRPr="004F7691">
        <w:rPr>
          <w:rFonts w:asciiTheme="minorHAnsi" w:hAnsiTheme="minorHAnsi" w:cstheme="minorHAnsi"/>
          <w:bCs/>
          <w:iCs/>
          <w:color w:val="000000" w:themeColor="text1"/>
          <w:szCs w:val="20"/>
          <w:lang w:eastAsia="uk-UA"/>
        </w:rPr>
        <w:t>адлишків або нестач на 31.12.2020</w:t>
      </w:r>
      <w:r w:rsidR="003E2A30" w:rsidRPr="004F7691">
        <w:rPr>
          <w:rFonts w:asciiTheme="minorHAnsi" w:hAnsiTheme="minorHAnsi" w:cstheme="minorHAnsi"/>
          <w:bCs/>
          <w:iCs/>
          <w:color w:val="000000" w:themeColor="text1"/>
          <w:szCs w:val="20"/>
          <w:lang w:eastAsia="uk-UA"/>
        </w:rPr>
        <w:t xml:space="preserve"> та на 31.12.201</w:t>
      </w:r>
      <w:r w:rsidR="004F7691" w:rsidRPr="004F7691">
        <w:rPr>
          <w:rFonts w:asciiTheme="minorHAnsi" w:hAnsiTheme="minorHAnsi" w:cstheme="minorHAnsi"/>
          <w:bCs/>
          <w:iCs/>
          <w:color w:val="000000" w:themeColor="text1"/>
          <w:szCs w:val="20"/>
          <w:lang w:val="ru-RU" w:eastAsia="uk-UA"/>
        </w:rPr>
        <w:t>9</w:t>
      </w:r>
      <w:r w:rsidRPr="004F7691">
        <w:rPr>
          <w:rFonts w:asciiTheme="minorHAnsi" w:hAnsiTheme="minorHAnsi" w:cstheme="minorHAnsi"/>
          <w:bCs/>
          <w:iCs/>
          <w:color w:val="000000" w:themeColor="text1"/>
          <w:szCs w:val="20"/>
          <w:lang w:eastAsia="uk-UA"/>
        </w:rPr>
        <w:t>:</w:t>
      </w:r>
    </w:p>
    <w:tbl>
      <w:tblPr>
        <w:tblW w:w="5000" w:type="pct"/>
        <w:tblLook w:val="04A0" w:firstRow="1" w:lastRow="0" w:firstColumn="1" w:lastColumn="0" w:noHBand="0" w:noVBand="1"/>
      </w:tblPr>
      <w:tblGrid>
        <w:gridCol w:w="5515"/>
        <w:gridCol w:w="2062"/>
        <w:gridCol w:w="2060"/>
      </w:tblGrid>
      <w:tr w:rsidR="009F5DE3" w:rsidRPr="004F7691" w14:paraId="039E57CF" w14:textId="77777777" w:rsidTr="004A2B7D">
        <w:trPr>
          <w:trHeight w:val="283"/>
          <w:tblHeader/>
        </w:trPr>
        <w:tc>
          <w:tcPr>
            <w:tcW w:w="2861" w:type="pct"/>
            <w:vMerge w:val="restart"/>
            <w:shd w:val="clear" w:color="auto" w:fill="auto"/>
            <w:vAlign w:val="center"/>
          </w:tcPr>
          <w:p w14:paraId="4B9F92E1" w14:textId="64CC79BB" w:rsidR="00D7008C" w:rsidRPr="004F7691" w:rsidRDefault="00E50D86" w:rsidP="009F5DE3">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2</w:t>
            </w:r>
            <w:r w:rsidR="009F5DE3" w:rsidRPr="004F7691">
              <w:rPr>
                <w:rFonts w:asciiTheme="minorHAnsi" w:hAnsiTheme="minorHAnsi" w:cstheme="minorHAnsi"/>
                <w:b/>
                <w:bCs/>
                <w:color w:val="000000" w:themeColor="text1"/>
                <w:szCs w:val="20"/>
              </w:rPr>
              <w:t>7</w:t>
            </w:r>
            <w:r w:rsidR="00D7008C" w:rsidRPr="004F7691">
              <w:rPr>
                <w:rFonts w:asciiTheme="minorHAnsi" w:hAnsiTheme="minorHAnsi" w:cstheme="minorHAnsi"/>
                <w:b/>
                <w:bCs/>
                <w:color w:val="000000" w:themeColor="text1"/>
                <w:szCs w:val="20"/>
              </w:rPr>
              <w:t>.4 Групи активів та пасивів</w:t>
            </w:r>
          </w:p>
        </w:tc>
        <w:tc>
          <w:tcPr>
            <w:tcW w:w="2139" w:type="pct"/>
            <w:gridSpan w:val="2"/>
            <w:tcBorders>
              <w:bottom w:val="single" w:sz="4" w:space="0" w:color="auto"/>
            </w:tcBorders>
            <w:shd w:val="clear" w:color="auto" w:fill="auto"/>
            <w:vAlign w:val="center"/>
          </w:tcPr>
          <w:p w14:paraId="43D2A8B1" w14:textId="77777777" w:rsidR="00D7008C" w:rsidRPr="004F7691" w:rsidRDefault="00D7008C" w:rsidP="00D7008C">
            <w:pPr>
              <w:suppressAutoHyphens/>
              <w:ind w:right="11"/>
              <w:jc w:val="center"/>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Надлишок (нестача)</w:t>
            </w:r>
          </w:p>
        </w:tc>
      </w:tr>
      <w:tr w:rsidR="0026596E" w:rsidRPr="004F7691" w14:paraId="22194985" w14:textId="77777777" w:rsidTr="004A2B7D">
        <w:trPr>
          <w:trHeight w:val="283"/>
          <w:tblHeader/>
        </w:trPr>
        <w:tc>
          <w:tcPr>
            <w:tcW w:w="2861" w:type="pct"/>
            <w:vMerge/>
            <w:tcBorders>
              <w:bottom w:val="single" w:sz="4" w:space="0" w:color="auto"/>
            </w:tcBorders>
            <w:shd w:val="clear" w:color="auto" w:fill="auto"/>
            <w:vAlign w:val="center"/>
          </w:tcPr>
          <w:p w14:paraId="6C9B5AF1" w14:textId="77777777" w:rsidR="0026596E" w:rsidRPr="004F7691" w:rsidRDefault="0026596E" w:rsidP="0026596E">
            <w:pPr>
              <w:suppressAutoHyphens/>
              <w:ind w:right="11"/>
              <w:jc w:val="left"/>
              <w:rPr>
                <w:rFonts w:asciiTheme="minorHAnsi" w:hAnsiTheme="minorHAnsi" w:cstheme="minorHAnsi"/>
                <w:b/>
                <w:bCs/>
                <w:iCs/>
                <w:color w:val="000000" w:themeColor="text1"/>
                <w:szCs w:val="20"/>
                <w:lang w:eastAsia="uk-UA"/>
              </w:rPr>
            </w:pPr>
          </w:p>
        </w:tc>
        <w:tc>
          <w:tcPr>
            <w:tcW w:w="1070" w:type="pct"/>
            <w:tcBorders>
              <w:top w:val="single" w:sz="4" w:space="0" w:color="auto"/>
              <w:bottom w:val="single" w:sz="4" w:space="0" w:color="auto"/>
            </w:tcBorders>
            <w:shd w:val="clear" w:color="auto" w:fill="auto"/>
            <w:vAlign w:val="center"/>
          </w:tcPr>
          <w:p w14:paraId="1EFCB8FA" w14:textId="64C520F5" w:rsidR="0026596E" w:rsidRPr="004F7691" w:rsidRDefault="0026596E" w:rsidP="0026596E">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color w:val="000000" w:themeColor="text1"/>
                <w:szCs w:val="20"/>
              </w:rPr>
              <w:t>31.12.2020</w:t>
            </w:r>
          </w:p>
        </w:tc>
        <w:tc>
          <w:tcPr>
            <w:tcW w:w="1069" w:type="pct"/>
            <w:tcBorders>
              <w:top w:val="single" w:sz="4" w:space="0" w:color="auto"/>
              <w:bottom w:val="single" w:sz="4" w:space="0" w:color="auto"/>
            </w:tcBorders>
            <w:shd w:val="clear" w:color="auto" w:fill="auto"/>
            <w:vAlign w:val="center"/>
          </w:tcPr>
          <w:p w14:paraId="6051182C" w14:textId="61D19F29" w:rsidR="0026596E" w:rsidRPr="004F7691" w:rsidRDefault="0026596E" w:rsidP="0026596E">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color w:val="000000" w:themeColor="text1"/>
                <w:szCs w:val="20"/>
              </w:rPr>
              <w:t>31.12.201</w:t>
            </w:r>
            <w:r w:rsidRPr="004F7691">
              <w:rPr>
                <w:rFonts w:asciiTheme="minorHAnsi" w:hAnsiTheme="minorHAnsi" w:cstheme="minorHAnsi"/>
                <w:b/>
                <w:color w:val="000000" w:themeColor="text1"/>
                <w:szCs w:val="20"/>
                <w:lang w:val="ru-RU"/>
              </w:rPr>
              <w:t>9</w:t>
            </w:r>
          </w:p>
        </w:tc>
      </w:tr>
      <w:tr w:rsidR="004F7691" w:rsidRPr="004F7691" w14:paraId="7657360B" w14:textId="77777777" w:rsidTr="009F5DE3">
        <w:trPr>
          <w:trHeight w:val="255"/>
        </w:trPr>
        <w:tc>
          <w:tcPr>
            <w:tcW w:w="2861" w:type="pct"/>
            <w:tcBorders>
              <w:top w:val="single" w:sz="4" w:space="0" w:color="auto"/>
            </w:tcBorders>
            <w:shd w:val="clear" w:color="auto" w:fill="auto"/>
            <w:vAlign w:val="center"/>
          </w:tcPr>
          <w:p w14:paraId="3F263E9F"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1</w:t>
            </w:r>
          </w:p>
        </w:tc>
        <w:tc>
          <w:tcPr>
            <w:tcW w:w="1070" w:type="pct"/>
            <w:tcBorders>
              <w:top w:val="single" w:sz="4" w:space="0" w:color="auto"/>
            </w:tcBorders>
            <w:shd w:val="clear" w:color="auto" w:fill="auto"/>
            <w:vAlign w:val="center"/>
          </w:tcPr>
          <w:p w14:paraId="393D224B" w14:textId="0AA3B4C5" w:rsidR="004F7691" w:rsidRPr="004F7691" w:rsidRDefault="004F7691" w:rsidP="004F7691">
            <w:pPr>
              <w:jc w:val="right"/>
              <w:rPr>
                <w:color w:val="000000" w:themeColor="text1"/>
                <w:szCs w:val="20"/>
                <w:lang w:val="ru-RU"/>
              </w:rPr>
            </w:pPr>
            <w:r w:rsidRPr="004F7691">
              <w:rPr>
                <w:color w:val="000000" w:themeColor="text1"/>
                <w:szCs w:val="20"/>
              </w:rPr>
              <w:t>(1 102 880)</w:t>
            </w:r>
          </w:p>
        </w:tc>
        <w:tc>
          <w:tcPr>
            <w:tcW w:w="1069" w:type="pct"/>
            <w:tcBorders>
              <w:top w:val="single" w:sz="4" w:space="0" w:color="auto"/>
            </w:tcBorders>
            <w:shd w:val="clear" w:color="auto" w:fill="auto"/>
            <w:vAlign w:val="center"/>
          </w:tcPr>
          <w:p w14:paraId="79596A7D" w14:textId="5B55828C" w:rsidR="004F7691" w:rsidRPr="004F7691" w:rsidRDefault="004F7691" w:rsidP="00F65203">
            <w:pPr>
              <w:jc w:val="right"/>
              <w:rPr>
                <w:color w:val="000000" w:themeColor="text1"/>
                <w:szCs w:val="20"/>
                <w:lang w:val="ru-RU"/>
              </w:rPr>
            </w:pPr>
            <w:r w:rsidRPr="004F7691">
              <w:rPr>
                <w:color w:val="000000" w:themeColor="text1"/>
                <w:szCs w:val="20"/>
              </w:rPr>
              <w:t>(95</w:t>
            </w:r>
            <w:r w:rsidR="00F65203">
              <w:rPr>
                <w:color w:val="000000" w:themeColor="text1"/>
                <w:szCs w:val="20"/>
              </w:rPr>
              <w:t>8 095)</w:t>
            </w:r>
          </w:p>
        </w:tc>
      </w:tr>
      <w:tr w:rsidR="004F7691" w:rsidRPr="004F7691" w14:paraId="68E1D8E6" w14:textId="77777777" w:rsidTr="009F5DE3">
        <w:trPr>
          <w:trHeight w:val="255"/>
        </w:trPr>
        <w:tc>
          <w:tcPr>
            <w:tcW w:w="2861" w:type="pct"/>
            <w:shd w:val="clear" w:color="auto" w:fill="auto"/>
            <w:vAlign w:val="center"/>
          </w:tcPr>
          <w:p w14:paraId="0AC12EEC"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2</w:t>
            </w:r>
          </w:p>
        </w:tc>
        <w:tc>
          <w:tcPr>
            <w:tcW w:w="1070" w:type="pct"/>
            <w:shd w:val="clear" w:color="auto" w:fill="auto"/>
            <w:vAlign w:val="center"/>
          </w:tcPr>
          <w:p w14:paraId="3031CF01" w14:textId="0F06162B" w:rsidR="004F7691" w:rsidRPr="004F7691" w:rsidRDefault="004F7691" w:rsidP="004F7691">
            <w:pPr>
              <w:jc w:val="right"/>
              <w:rPr>
                <w:color w:val="000000" w:themeColor="text1"/>
                <w:szCs w:val="20"/>
              </w:rPr>
            </w:pPr>
            <w:r w:rsidRPr="004F7691">
              <w:rPr>
                <w:color w:val="000000" w:themeColor="text1"/>
                <w:szCs w:val="20"/>
              </w:rPr>
              <w:t>984 191</w:t>
            </w:r>
          </w:p>
        </w:tc>
        <w:tc>
          <w:tcPr>
            <w:tcW w:w="1069" w:type="pct"/>
            <w:shd w:val="clear" w:color="auto" w:fill="auto"/>
            <w:vAlign w:val="center"/>
          </w:tcPr>
          <w:p w14:paraId="01DF26D8" w14:textId="53783653" w:rsidR="004F7691" w:rsidRPr="004F7691" w:rsidRDefault="004F7691" w:rsidP="004F7691">
            <w:pPr>
              <w:jc w:val="right"/>
              <w:rPr>
                <w:color w:val="000000" w:themeColor="text1"/>
                <w:szCs w:val="20"/>
              </w:rPr>
            </w:pPr>
            <w:r w:rsidRPr="004F7691">
              <w:rPr>
                <w:color w:val="000000" w:themeColor="text1"/>
                <w:szCs w:val="20"/>
              </w:rPr>
              <w:t>934 176</w:t>
            </w:r>
          </w:p>
        </w:tc>
      </w:tr>
      <w:tr w:rsidR="004F7691" w:rsidRPr="004F7691" w14:paraId="18786905" w14:textId="77777777" w:rsidTr="009F5DE3">
        <w:trPr>
          <w:trHeight w:val="255"/>
        </w:trPr>
        <w:tc>
          <w:tcPr>
            <w:tcW w:w="2861" w:type="pct"/>
            <w:shd w:val="clear" w:color="auto" w:fill="auto"/>
            <w:vAlign w:val="center"/>
          </w:tcPr>
          <w:p w14:paraId="3B4AE4BF"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3</w:t>
            </w:r>
          </w:p>
        </w:tc>
        <w:tc>
          <w:tcPr>
            <w:tcW w:w="1070" w:type="pct"/>
            <w:shd w:val="clear" w:color="auto" w:fill="auto"/>
            <w:vAlign w:val="center"/>
          </w:tcPr>
          <w:p w14:paraId="4336412A" w14:textId="2CEF34F5" w:rsidR="004F7691" w:rsidRPr="004F7691" w:rsidRDefault="004F7691" w:rsidP="004F7691">
            <w:pPr>
              <w:jc w:val="right"/>
              <w:rPr>
                <w:color w:val="000000" w:themeColor="text1"/>
                <w:szCs w:val="20"/>
              </w:rPr>
            </w:pPr>
            <w:r w:rsidRPr="004F7691">
              <w:rPr>
                <w:color w:val="000000" w:themeColor="text1"/>
                <w:szCs w:val="20"/>
              </w:rPr>
              <w:t>398 523</w:t>
            </w:r>
          </w:p>
        </w:tc>
        <w:tc>
          <w:tcPr>
            <w:tcW w:w="1069" w:type="pct"/>
            <w:shd w:val="clear" w:color="auto" w:fill="auto"/>
            <w:vAlign w:val="center"/>
          </w:tcPr>
          <w:p w14:paraId="136EB091" w14:textId="4B44613C" w:rsidR="004F7691" w:rsidRPr="004F7691" w:rsidRDefault="004F7691" w:rsidP="004F7691">
            <w:pPr>
              <w:jc w:val="right"/>
              <w:rPr>
                <w:color w:val="000000" w:themeColor="text1"/>
                <w:szCs w:val="20"/>
              </w:rPr>
            </w:pPr>
            <w:r w:rsidRPr="004F7691">
              <w:rPr>
                <w:color w:val="000000" w:themeColor="text1"/>
                <w:szCs w:val="20"/>
              </w:rPr>
              <w:t>319 074</w:t>
            </w:r>
          </w:p>
        </w:tc>
      </w:tr>
      <w:tr w:rsidR="004F7691" w:rsidRPr="004F7691" w14:paraId="49F4DA0B" w14:textId="77777777" w:rsidTr="009F5DE3">
        <w:trPr>
          <w:trHeight w:val="255"/>
        </w:trPr>
        <w:tc>
          <w:tcPr>
            <w:tcW w:w="2861" w:type="pct"/>
            <w:tcBorders>
              <w:bottom w:val="single" w:sz="4" w:space="0" w:color="auto"/>
            </w:tcBorders>
            <w:shd w:val="clear" w:color="auto" w:fill="auto"/>
            <w:vAlign w:val="center"/>
          </w:tcPr>
          <w:p w14:paraId="5E619D16"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4</w:t>
            </w:r>
          </w:p>
        </w:tc>
        <w:tc>
          <w:tcPr>
            <w:tcW w:w="1070" w:type="pct"/>
            <w:tcBorders>
              <w:bottom w:val="single" w:sz="4" w:space="0" w:color="auto"/>
            </w:tcBorders>
            <w:shd w:val="clear" w:color="auto" w:fill="auto"/>
            <w:vAlign w:val="center"/>
          </w:tcPr>
          <w:p w14:paraId="61D43EA4" w14:textId="63F1FFB7" w:rsidR="004F7691" w:rsidRPr="004F7691" w:rsidRDefault="004F7691" w:rsidP="004F7691">
            <w:pPr>
              <w:jc w:val="right"/>
              <w:rPr>
                <w:color w:val="000000" w:themeColor="text1"/>
                <w:szCs w:val="20"/>
              </w:rPr>
            </w:pPr>
            <w:r w:rsidRPr="004F7691">
              <w:rPr>
                <w:color w:val="000000" w:themeColor="text1"/>
                <w:szCs w:val="20"/>
              </w:rPr>
              <w:t>(279 834)</w:t>
            </w:r>
          </w:p>
        </w:tc>
        <w:tc>
          <w:tcPr>
            <w:tcW w:w="1069" w:type="pct"/>
            <w:tcBorders>
              <w:bottom w:val="single" w:sz="4" w:space="0" w:color="auto"/>
            </w:tcBorders>
            <w:shd w:val="clear" w:color="auto" w:fill="auto"/>
            <w:vAlign w:val="center"/>
          </w:tcPr>
          <w:p w14:paraId="2673F7C4" w14:textId="32781D68" w:rsidR="004F7691" w:rsidRPr="004F7691" w:rsidRDefault="004F7691" w:rsidP="00F65203">
            <w:pPr>
              <w:jc w:val="right"/>
              <w:rPr>
                <w:color w:val="000000" w:themeColor="text1"/>
                <w:szCs w:val="20"/>
              </w:rPr>
            </w:pPr>
            <w:r w:rsidRPr="004F7691">
              <w:rPr>
                <w:color w:val="000000" w:themeColor="text1"/>
                <w:szCs w:val="20"/>
              </w:rPr>
              <w:t xml:space="preserve">(295 </w:t>
            </w:r>
            <w:r w:rsidR="00F65203">
              <w:rPr>
                <w:color w:val="000000" w:themeColor="text1"/>
                <w:szCs w:val="20"/>
              </w:rPr>
              <w:t>155</w:t>
            </w:r>
            <w:r w:rsidRPr="004F7691">
              <w:rPr>
                <w:color w:val="000000" w:themeColor="text1"/>
                <w:szCs w:val="20"/>
              </w:rPr>
              <w:t>)</w:t>
            </w:r>
          </w:p>
        </w:tc>
      </w:tr>
    </w:tbl>
    <w:p w14:paraId="515DA88B" w14:textId="0871B99A" w:rsidR="00D7008C" w:rsidRPr="004F7691" w:rsidRDefault="00D7008C" w:rsidP="003547BB">
      <w:pPr>
        <w:spacing w:before="240" w:after="120"/>
        <w:rPr>
          <w:rFonts w:asciiTheme="minorHAnsi" w:hAnsiTheme="minorHAnsi" w:cstheme="minorHAnsi"/>
          <w:bCs/>
          <w:iCs/>
          <w:color w:val="000000" w:themeColor="text1"/>
          <w:szCs w:val="20"/>
          <w:lang w:eastAsia="uk-UA"/>
        </w:rPr>
      </w:pPr>
      <w:r w:rsidRPr="004F7691">
        <w:rPr>
          <w:rFonts w:asciiTheme="minorHAnsi" w:hAnsiTheme="minorHAnsi" w:cstheme="minorHAnsi"/>
          <w:bCs/>
          <w:iCs/>
          <w:color w:val="000000" w:themeColor="text1"/>
          <w:szCs w:val="20"/>
          <w:lang w:eastAsia="uk-UA"/>
        </w:rPr>
        <w:t>Звіт про фінансовий стан вважається абсолютно ліквідним, якщо виконуються умови: А1 &gt; П1, А2 &gt; П2, А3 &gt; П3, А4 &lt; П4. Станом на 31.12.</w:t>
      </w:r>
      <w:r w:rsidR="004F7691" w:rsidRPr="004F7691">
        <w:rPr>
          <w:rFonts w:asciiTheme="minorHAnsi" w:hAnsiTheme="minorHAnsi" w:cstheme="minorHAnsi"/>
          <w:bCs/>
          <w:iCs/>
          <w:color w:val="000000" w:themeColor="text1"/>
          <w:szCs w:val="20"/>
          <w:lang w:eastAsia="uk-UA"/>
        </w:rPr>
        <w:t>2020</w:t>
      </w:r>
      <w:r w:rsidRPr="004F7691">
        <w:rPr>
          <w:rFonts w:asciiTheme="minorHAnsi" w:hAnsiTheme="minorHAnsi" w:cstheme="minorHAnsi"/>
          <w:bCs/>
          <w:iCs/>
          <w:color w:val="000000" w:themeColor="text1"/>
          <w:szCs w:val="20"/>
          <w:lang w:eastAsia="uk-UA"/>
        </w:rPr>
        <w:t xml:space="preserve"> звіт про фінансовий стан Компанії </w:t>
      </w:r>
      <w:r w:rsidR="006E57F8" w:rsidRPr="004F7691">
        <w:rPr>
          <w:rFonts w:asciiTheme="minorHAnsi" w:hAnsiTheme="minorHAnsi" w:cstheme="minorHAnsi"/>
          <w:bCs/>
          <w:iCs/>
          <w:color w:val="000000" w:themeColor="text1"/>
          <w:szCs w:val="20"/>
          <w:lang w:eastAsia="uk-UA"/>
        </w:rPr>
        <w:t xml:space="preserve">не </w:t>
      </w:r>
      <w:r w:rsidRPr="004F7691">
        <w:rPr>
          <w:rFonts w:asciiTheme="minorHAnsi" w:hAnsiTheme="minorHAnsi" w:cstheme="minorHAnsi"/>
          <w:bCs/>
          <w:iCs/>
          <w:color w:val="000000" w:themeColor="text1"/>
          <w:szCs w:val="20"/>
          <w:lang w:eastAsia="uk-UA"/>
        </w:rPr>
        <w:t xml:space="preserve">є </w:t>
      </w:r>
      <w:r w:rsidR="00B47391" w:rsidRPr="004F7691">
        <w:rPr>
          <w:rFonts w:asciiTheme="minorHAnsi" w:hAnsiTheme="minorHAnsi" w:cstheme="minorHAnsi"/>
          <w:bCs/>
          <w:iCs/>
          <w:color w:val="000000" w:themeColor="text1"/>
          <w:szCs w:val="20"/>
          <w:lang w:eastAsia="uk-UA"/>
        </w:rPr>
        <w:t>достатньо</w:t>
      </w:r>
      <w:r w:rsidR="00B47391" w:rsidRPr="004F7691">
        <w:rPr>
          <w:rFonts w:asciiTheme="minorHAnsi" w:hAnsiTheme="minorHAnsi" w:cstheme="minorHAnsi"/>
          <w:bCs/>
          <w:iCs/>
          <w:color w:val="000000" w:themeColor="text1"/>
          <w:szCs w:val="20"/>
          <w:lang w:val="ru-RU" w:eastAsia="uk-UA"/>
        </w:rPr>
        <w:t xml:space="preserve"> </w:t>
      </w:r>
      <w:r w:rsidRPr="004F7691">
        <w:rPr>
          <w:rFonts w:asciiTheme="minorHAnsi" w:hAnsiTheme="minorHAnsi" w:cstheme="minorHAnsi"/>
          <w:bCs/>
          <w:iCs/>
          <w:color w:val="000000" w:themeColor="text1"/>
          <w:szCs w:val="20"/>
          <w:lang w:eastAsia="uk-UA"/>
        </w:rPr>
        <w:t>ліквідним</w:t>
      </w:r>
      <w:r w:rsidR="00567547" w:rsidRPr="004F7691">
        <w:rPr>
          <w:rFonts w:asciiTheme="minorHAnsi" w:hAnsiTheme="minorHAnsi" w:cstheme="minorHAnsi"/>
          <w:bCs/>
          <w:iCs/>
          <w:color w:val="000000" w:themeColor="text1"/>
          <w:szCs w:val="20"/>
          <w:lang w:val="ru-RU" w:eastAsia="uk-UA"/>
        </w:rPr>
        <w:t>,</w:t>
      </w:r>
      <w:r w:rsidRPr="004F7691">
        <w:rPr>
          <w:rFonts w:asciiTheme="minorHAnsi" w:hAnsiTheme="minorHAnsi" w:cstheme="minorHAnsi"/>
          <w:bCs/>
          <w:iCs/>
          <w:color w:val="000000" w:themeColor="text1"/>
          <w:szCs w:val="20"/>
          <w:lang w:eastAsia="uk-UA"/>
        </w:rPr>
        <w:t xml:space="preserve"> оскільки виконуються </w:t>
      </w:r>
      <w:r w:rsidR="00335BA6" w:rsidRPr="004F7691">
        <w:rPr>
          <w:rFonts w:asciiTheme="minorHAnsi" w:hAnsiTheme="minorHAnsi" w:cstheme="minorHAnsi"/>
          <w:bCs/>
          <w:iCs/>
          <w:color w:val="000000" w:themeColor="text1"/>
          <w:szCs w:val="20"/>
          <w:lang w:eastAsia="uk-UA"/>
        </w:rPr>
        <w:t>три</w:t>
      </w:r>
      <w:r w:rsidRPr="004F7691">
        <w:rPr>
          <w:rFonts w:asciiTheme="minorHAnsi" w:hAnsiTheme="minorHAnsi" w:cstheme="minorHAnsi"/>
          <w:bCs/>
          <w:iCs/>
          <w:color w:val="000000" w:themeColor="text1"/>
          <w:szCs w:val="20"/>
          <w:lang w:eastAsia="uk-UA"/>
        </w:rPr>
        <w:t xml:space="preserve"> умови ліквідності з чотирьох.</w:t>
      </w:r>
    </w:p>
    <w:p w14:paraId="1117C074" w14:textId="6C7DA840" w:rsidR="00D7008C" w:rsidRPr="004F7691" w:rsidRDefault="00D7008C" w:rsidP="0043611D">
      <w:pPr>
        <w:spacing w:before="120" w:after="120"/>
        <w:rPr>
          <w:rFonts w:asciiTheme="minorHAnsi" w:hAnsiTheme="minorHAnsi" w:cstheme="minorHAnsi"/>
          <w:bCs/>
          <w:iCs/>
          <w:color w:val="000000" w:themeColor="text1"/>
          <w:szCs w:val="20"/>
          <w:lang w:eastAsia="uk-UA"/>
        </w:rPr>
      </w:pPr>
      <w:r w:rsidRPr="004F7691">
        <w:rPr>
          <w:rFonts w:asciiTheme="minorHAnsi" w:hAnsiTheme="minorHAnsi" w:cstheme="minorHAnsi"/>
          <w:bCs/>
          <w:iCs/>
          <w:color w:val="000000" w:themeColor="text1"/>
          <w:szCs w:val="20"/>
          <w:lang w:eastAsia="uk-UA"/>
        </w:rPr>
        <w:t>У наступній таблиці наданий аналіз ліквідності Компанії станом на 31.12.</w:t>
      </w:r>
      <w:r w:rsidR="004F7691" w:rsidRPr="004F7691">
        <w:rPr>
          <w:rFonts w:asciiTheme="minorHAnsi" w:hAnsiTheme="minorHAnsi" w:cstheme="minorHAnsi"/>
          <w:bCs/>
          <w:iCs/>
          <w:color w:val="000000" w:themeColor="text1"/>
          <w:szCs w:val="20"/>
          <w:lang w:eastAsia="uk-UA"/>
        </w:rPr>
        <w:t>2020</w:t>
      </w:r>
      <w:r w:rsidRPr="004F7691">
        <w:rPr>
          <w:rFonts w:asciiTheme="minorHAnsi" w:hAnsiTheme="minorHAnsi" w:cstheme="minorHAnsi"/>
          <w:bCs/>
          <w:iCs/>
          <w:color w:val="000000" w:themeColor="text1"/>
          <w:szCs w:val="20"/>
          <w:lang w:eastAsia="uk-UA"/>
        </w:rPr>
        <w:t xml:space="preserve"> та на 31.12.</w:t>
      </w:r>
      <w:r w:rsidR="00ED3E9D" w:rsidRPr="004F7691">
        <w:rPr>
          <w:rFonts w:asciiTheme="minorHAnsi" w:hAnsiTheme="minorHAnsi" w:cstheme="minorHAnsi"/>
          <w:bCs/>
          <w:iCs/>
          <w:color w:val="000000" w:themeColor="text1"/>
          <w:szCs w:val="20"/>
          <w:lang w:eastAsia="uk-UA"/>
        </w:rPr>
        <w:t>201</w:t>
      </w:r>
      <w:r w:rsidR="004F7691" w:rsidRPr="004F7691">
        <w:rPr>
          <w:rFonts w:asciiTheme="minorHAnsi" w:hAnsiTheme="minorHAnsi" w:cstheme="minorHAnsi"/>
          <w:bCs/>
          <w:iCs/>
          <w:color w:val="000000" w:themeColor="text1"/>
          <w:szCs w:val="20"/>
          <w:lang w:eastAsia="uk-UA"/>
        </w:rPr>
        <w:t>9</w:t>
      </w:r>
      <w:r w:rsidRPr="004F7691">
        <w:rPr>
          <w:rFonts w:asciiTheme="minorHAnsi" w:hAnsiTheme="minorHAnsi" w:cstheme="minorHAnsi"/>
          <w:bCs/>
          <w:iCs/>
          <w:color w:val="000000" w:themeColor="text1"/>
          <w:szCs w:val="20"/>
          <w:lang w:eastAsia="uk-UA"/>
        </w:rPr>
        <w:t xml:space="preserve"> за допомогою розрахунку показників ліквідності.</w:t>
      </w:r>
    </w:p>
    <w:tbl>
      <w:tblPr>
        <w:tblW w:w="5000" w:type="pct"/>
        <w:tblLook w:val="04A0" w:firstRow="1" w:lastRow="0" w:firstColumn="1" w:lastColumn="0" w:noHBand="0" w:noVBand="1"/>
      </w:tblPr>
      <w:tblGrid>
        <w:gridCol w:w="5515"/>
        <w:gridCol w:w="2062"/>
        <w:gridCol w:w="2060"/>
      </w:tblGrid>
      <w:tr w:rsidR="004F7691" w:rsidRPr="004F7691" w14:paraId="239E57BA" w14:textId="77777777" w:rsidTr="004F7691">
        <w:trPr>
          <w:trHeight w:val="555"/>
          <w:tblHeader/>
        </w:trPr>
        <w:tc>
          <w:tcPr>
            <w:tcW w:w="2861" w:type="pct"/>
            <w:tcBorders>
              <w:bottom w:val="single" w:sz="4" w:space="0" w:color="auto"/>
            </w:tcBorders>
            <w:shd w:val="clear" w:color="auto" w:fill="auto"/>
            <w:vAlign w:val="center"/>
          </w:tcPr>
          <w:p w14:paraId="573EE174" w14:textId="7F83F165" w:rsidR="004F7691" w:rsidRPr="004F7691" w:rsidRDefault="004F7691" w:rsidP="004F7691">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27.5 Показники ліквідності</w:t>
            </w:r>
          </w:p>
        </w:tc>
        <w:tc>
          <w:tcPr>
            <w:tcW w:w="1070" w:type="pct"/>
            <w:tcBorders>
              <w:bottom w:val="single" w:sz="4" w:space="0" w:color="auto"/>
            </w:tcBorders>
            <w:shd w:val="clear" w:color="auto" w:fill="auto"/>
            <w:vAlign w:val="center"/>
          </w:tcPr>
          <w:p w14:paraId="225C0BA4" w14:textId="785126A8" w:rsidR="004F7691" w:rsidRPr="004F7691" w:rsidRDefault="004F7691" w:rsidP="004F7691">
            <w:pPr>
              <w:keepNext/>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color w:val="000000" w:themeColor="text1"/>
                <w:szCs w:val="20"/>
              </w:rPr>
              <w:t>31.12.2020</w:t>
            </w:r>
          </w:p>
        </w:tc>
        <w:tc>
          <w:tcPr>
            <w:tcW w:w="1069" w:type="pct"/>
            <w:tcBorders>
              <w:bottom w:val="single" w:sz="4" w:space="0" w:color="auto"/>
            </w:tcBorders>
            <w:vAlign w:val="center"/>
          </w:tcPr>
          <w:p w14:paraId="403746A7" w14:textId="5C056E60" w:rsidR="004F7691" w:rsidRPr="004F7691" w:rsidRDefault="004F7691" w:rsidP="004F7691">
            <w:pPr>
              <w:keepNext/>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color w:val="000000" w:themeColor="text1"/>
                <w:szCs w:val="20"/>
              </w:rPr>
              <w:t>31.12.201</w:t>
            </w:r>
            <w:r w:rsidRPr="004F7691">
              <w:rPr>
                <w:rFonts w:asciiTheme="minorHAnsi" w:hAnsiTheme="minorHAnsi" w:cstheme="minorHAnsi"/>
                <w:b/>
                <w:color w:val="000000" w:themeColor="text1"/>
                <w:szCs w:val="20"/>
                <w:lang w:val="ru-RU"/>
              </w:rPr>
              <w:t>9</w:t>
            </w:r>
          </w:p>
        </w:tc>
      </w:tr>
      <w:tr w:rsidR="004F7691" w:rsidRPr="004F7691" w14:paraId="56B02F37" w14:textId="77777777" w:rsidTr="009F5DE3">
        <w:trPr>
          <w:trHeight w:val="255"/>
        </w:trPr>
        <w:tc>
          <w:tcPr>
            <w:tcW w:w="2861" w:type="pct"/>
            <w:tcBorders>
              <w:top w:val="single" w:sz="4" w:space="0" w:color="auto"/>
            </w:tcBorders>
            <w:shd w:val="clear" w:color="auto" w:fill="auto"/>
            <w:vAlign w:val="center"/>
          </w:tcPr>
          <w:p w14:paraId="0C9832FF"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Коефіцієнт абсолютної ліквідності</w:t>
            </w:r>
          </w:p>
        </w:tc>
        <w:tc>
          <w:tcPr>
            <w:tcW w:w="1070" w:type="pct"/>
            <w:tcBorders>
              <w:top w:val="single" w:sz="4" w:space="0" w:color="auto"/>
            </w:tcBorders>
            <w:shd w:val="clear" w:color="auto" w:fill="auto"/>
            <w:vAlign w:val="center"/>
          </w:tcPr>
          <w:p w14:paraId="45E90B7F" w14:textId="34BE41B3"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0,007 </w:t>
            </w:r>
          </w:p>
        </w:tc>
        <w:tc>
          <w:tcPr>
            <w:tcW w:w="1069" w:type="pct"/>
            <w:tcBorders>
              <w:top w:val="single" w:sz="4" w:space="0" w:color="auto"/>
            </w:tcBorders>
            <w:vAlign w:val="center"/>
          </w:tcPr>
          <w:p w14:paraId="186ADD15" w14:textId="1D7BAEBF"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0,008 </w:t>
            </w:r>
          </w:p>
        </w:tc>
      </w:tr>
      <w:tr w:rsidR="004F7691" w:rsidRPr="004F7691" w14:paraId="24AC3D51" w14:textId="77777777" w:rsidTr="009F5DE3">
        <w:trPr>
          <w:trHeight w:val="255"/>
        </w:trPr>
        <w:tc>
          <w:tcPr>
            <w:tcW w:w="2861" w:type="pct"/>
            <w:shd w:val="clear" w:color="auto" w:fill="auto"/>
            <w:vAlign w:val="center"/>
          </w:tcPr>
          <w:p w14:paraId="401040D9"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Коефіцієнт швидкої ліквідності</w:t>
            </w:r>
          </w:p>
        </w:tc>
        <w:tc>
          <w:tcPr>
            <w:tcW w:w="1070" w:type="pct"/>
            <w:shd w:val="clear" w:color="auto" w:fill="auto"/>
            <w:vAlign w:val="center"/>
          </w:tcPr>
          <w:p w14:paraId="4A94A5F0" w14:textId="0387D295" w:rsidR="004F7691" w:rsidRPr="004F7691" w:rsidRDefault="004F7691" w:rsidP="004F7691">
            <w:pPr>
              <w:jc w:val="right"/>
              <w:rPr>
                <w:rFonts w:asciiTheme="minorHAnsi" w:hAnsiTheme="minorHAnsi" w:cstheme="minorHAnsi"/>
                <w:color w:val="000000" w:themeColor="text1"/>
                <w:szCs w:val="20"/>
                <w:lang w:val="en-US"/>
              </w:rPr>
            </w:pPr>
            <w:r w:rsidRPr="004F7691">
              <w:rPr>
                <w:color w:val="000000" w:themeColor="text1"/>
                <w:szCs w:val="20"/>
              </w:rPr>
              <w:t xml:space="preserve">0,928 </w:t>
            </w:r>
          </w:p>
        </w:tc>
        <w:tc>
          <w:tcPr>
            <w:tcW w:w="1069" w:type="pct"/>
            <w:vAlign w:val="center"/>
          </w:tcPr>
          <w:p w14:paraId="43AED19D" w14:textId="675AE500"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0,984 </w:t>
            </w:r>
          </w:p>
        </w:tc>
      </w:tr>
      <w:tr w:rsidR="004F7691" w:rsidRPr="004F7691" w14:paraId="577B1606" w14:textId="77777777" w:rsidTr="009F5DE3">
        <w:trPr>
          <w:trHeight w:val="255"/>
        </w:trPr>
        <w:tc>
          <w:tcPr>
            <w:tcW w:w="2861" w:type="pct"/>
            <w:tcBorders>
              <w:bottom w:val="single" w:sz="4" w:space="0" w:color="auto"/>
            </w:tcBorders>
            <w:shd w:val="clear" w:color="auto" w:fill="auto"/>
            <w:vAlign w:val="center"/>
          </w:tcPr>
          <w:p w14:paraId="7EB918A0" w14:textId="77777777" w:rsidR="004F7691" w:rsidRPr="004F7691" w:rsidRDefault="004F7691" w:rsidP="004F7691">
            <w:pPr>
              <w:pStyle w:val="af7"/>
              <w:spacing w:before="0" w:after="0"/>
              <w:jc w:val="left"/>
              <w:rPr>
                <w:rFonts w:asciiTheme="minorHAnsi" w:hAnsiTheme="minorHAnsi" w:cstheme="minorHAnsi"/>
                <w:color w:val="000000" w:themeColor="text1"/>
                <w:szCs w:val="20"/>
              </w:rPr>
            </w:pPr>
            <w:r w:rsidRPr="004F7691">
              <w:rPr>
                <w:rFonts w:asciiTheme="minorHAnsi" w:hAnsiTheme="minorHAnsi" w:cstheme="minorHAnsi"/>
                <w:color w:val="000000" w:themeColor="text1"/>
                <w:szCs w:val="20"/>
              </w:rPr>
              <w:t>Коефіцієнт поточної ліквідності</w:t>
            </w:r>
          </w:p>
        </w:tc>
        <w:tc>
          <w:tcPr>
            <w:tcW w:w="1070" w:type="pct"/>
            <w:tcBorders>
              <w:bottom w:val="single" w:sz="4" w:space="0" w:color="auto"/>
            </w:tcBorders>
            <w:shd w:val="clear" w:color="auto" w:fill="auto"/>
            <w:vAlign w:val="center"/>
          </w:tcPr>
          <w:p w14:paraId="1DF2A7EA" w14:textId="78374A0E" w:rsidR="004F7691" w:rsidRPr="004F7691" w:rsidRDefault="004F7691" w:rsidP="004F7691">
            <w:pPr>
              <w:jc w:val="right"/>
              <w:rPr>
                <w:rFonts w:asciiTheme="minorHAnsi" w:hAnsiTheme="minorHAnsi" w:cstheme="minorHAnsi"/>
                <w:color w:val="000000" w:themeColor="text1"/>
                <w:szCs w:val="20"/>
                <w:lang w:val="en-US"/>
              </w:rPr>
            </w:pPr>
            <w:r w:rsidRPr="004F7691">
              <w:rPr>
                <w:color w:val="000000" w:themeColor="text1"/>
                <w:szCs w:val="20"/>
              </w:rPr>
              <w:t xml:space="preserve">1,198 </w:t>
            </w:r>
          </w:p>
        </w:tc>
        <w:tc>
          <w:tcPr>
            <w:tcW w:w="1069" w:type="pct"/>
            <w:tcBorders>
              <w:bottom w:val="single" w:sz="4" w:space="0" w:color="auto"/>
            </w:tcBorders>
            <w:vAlign w:val="center"/>
          </w:tcPr>
          <w:p w14:paraId="0120842B" w14:textId="774DFFCE"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1,230 </w:t>
            </w:r>
          </w:p>
        </w:tc>
      </w:tr>
    </w:tbl>
    <w:p w14:paraId="2808CB0F" w14:textId="539BC3C8" w:rsidR="00D7008C" w:rsidRPr="004F7691" w:rsidRDefault="00D7008C" w:rsidP="003547BB">
      <w:pPr>
        <w:pStyle w:val="af7"/>
        <w:spacing w:before="240"/>
        <w:rPr>
          <w:color w:val="000000" w:themeColor="text1"/>
          <w:lang w:eastAsia="uk-UA"/>
        </w:rPr>
      </w:pPr>
      <w:r w:rsidRPr="004F7691">
        <w:rPr>
          <w:color w:val="000000" w:themeColor="text1"/>
          <w:lang w:eastAsia="uk-UA"/>
        </w:rPr>
        <w:t>Коефіцієнт абсолютної ліквідності показує, яку частину кредиторської заборгованості підприємство може погасити негайно. Значення даного показника не повинне опускатися нижче 0,2. Станом на 31.12.</w:t>
      </w:r>
      <w:r w:rsidR="00C31623" w:rsidRPr="004F7691">
        <w:rPr>
          <w:color w:val="000000" w:themeColor="text1"/>
          <w:lang w:eastAsia="uk-UA"/>
        </w:rPr>
        <w:t>20</w:t>
      </w:r>
      <w:r w:rsidR="004F7691" w:rsidRPr="004F7691">
        <w:rPr>
          <w:color w:val="000000" w:themeColor="text1"/>
          <w:lang w:eastAsia="uk-UA"/>
        </w:rPr>
        <w:t>20</w:t>
      </w:r>
      <w:r w:rsidRPr="004F7691">
        <w:rPr>
          <w:color w:val="000000" w:themeColor="text1"/>
          <w:lang w:eastAsia="uk-UA"/>
        </w:rPr>
        <w:t xml:space="preserve"> К</w:t>
      </w:r>
      <w:r w:rsidR="00DC3415" w:rsidRPr="004F7691">
        <w:rPr>
          <w:color w:val="000000" w:themeColor="text1"/>
          <w:lang w:eastAsia="uk-UA"/>
        </w:rPr>
        <w:t xml:space="preserve">омпанія може негайно погасити </w:t>
      </w:r>
      <w:r w:rsidR="00B33746" w:rsidRPr="004F7691">
        <w:rPr>
          <w:color w:val="000000" w:themeColor="text1"/>
          <w:lang w:eastAsia="uk-UA"/>
        </w:rPr>
        <w:t>0</w:t>
      </w:r>
      <w:r w:rsidR="00CC5589" w:rsidRPr="004F7691">
        <w:rPr>
          <w:color w:val="000000" w:themeColor="text1"/>
          <w:lang w:eastAsia="uk-UA"/>
        </w:rPr>
        <w:t>,</w:t>
      </w:r>
      <w:r w:rsidR="004F7691" w:rsidRPr="004F7691">
        <w:rPr>
          <w:color w:val="000000" w:themeColor="text1"/>
          <w:lang w:eastAsia="uk-UA"/>
        </w:rPr>
        <w:t>7</w:t>
      </w:r>
      <w:r w:rsidR="00CE6929" w:rsidRPr="004F7691">
        <w:rPr>
          <w:color w:val="000000" w:themeColor="text1"/>
          <w:lang w:eastAsia="uk-UA"/>
        </w:rPr>
        <w:t> </w:t>
      </w:r>
      <w:r w:rsidRPr="004F7691">
        <w:rPr>
          <w:color w:val="000000" w:themeColor="text1"/>
          <w:lang w:eastAsia="uk-UA"/>
        </w:rPr>
        <w:t>% кредиторської заборгованості (на 31.12.</w:t>
      </w:r>
      <w:r w:rsidR="00C31623" w:rsidRPr="004F7691">
        <w:rPr>
          <w:color w:val="000000" w:themeColor="text1"/>
          <w:lang w:eastAsia="uk-UA"/>
        </w:rPr>
        <w:t>20</w:t>
      </w:r>
      <w:r w:rsidR="00C551B0" w:rsidRPr="004F7691">
        <w:rPr>
          <w:color w:val="000000" w:themeColor="text1"/>
          <w:lang w:eastAsia="uk-UA"/>
        </w:rPr>
        <w:t>1</w:t>
      </w:r>
      <w:r w:rsidR="004F7691" w:rsidRPr="004F7691">
        <w:rPr>
          <w:color w:val="000000" w:themeColor="text1"/>
          <w:lang w:eastAsia="uk-UA"/>
        </w:rPr>
        <w:t>9</w:t>
      </w:r>
      <w:r w:rsidR="00E50D86" w:rsidRPr="004F7691">
        <w:rPr>
          <w:color w:val="000000" w:themeColor="text1"/>
          <w:lang w:eastAsia="uk-UA"/>
        </w:rPr>
        <w:t xml:space="preserve"> </w:t>
      </w:r>
      <w:r w:rsidR="00DC3415" w:rsidRPr="004F7691">
        <w:rPr>
          <w:color w:val="000000" w:themeColor="text1"/>
          <w:lang w:eastAsia="uk-UA"/>
        </w:rPr>
        <w:t xml:space="preserve">– </w:t>
      </w:r>
      <w:r w:rsidR="00F5702B" w:rsidRPr="004F7691">
        <w:rPr>
          <w:color w:val="000000" w:themeColor="text1"/>
          <w:lang w:eastAsia="uk-UA"/>
        </w:rPr>
        <w:t>0,8</w:t>
      </w:r>
      <w:r w:rsidR="00CE6929" w:rsidRPr="004F7691">
        <w:rPr>
          <w:color w:val="000000" w:themeColor="text1"/>
          <w:lang w:eastAsia="uk-UA"/>
        </w:rPr>
        <w:t> </w:t>
      </w:r>
      <w:r w:rsidRPr="004F7691">
        <w:rPr>
          <w:color w:val="000000" w:themeColor="text1"/>
          <w:lang w:eastAsia="uk-UA"/>
        </w:rPr>
        <w:t>%).</w:t>
      </w:r>
    </w:p>
    <w:p w14:paraId="7462CC72" w14:textId="2E1AC99B" w:rsidR="00D7008C" w:rsidRPr="004F7691" w:rsidRDefault="00D7008C" w:rsidP="0043611D">
      <w:pPr>
        <w:pStyle w:val="af7"/>
        <w:rPr>
          <w:color w:val="000000" w:themeColor="text1"/>
          <w:lang w:eastAsia="uk-UA"/>
        </w:rPr>
      </w:pPr>
      <w:r w:rsidRPr="004F7691">
        <w:rPr>
          <w:color w:val="000000" w:themeColor="text1"/>
          <w:lang w:eastAsia="uk-UA"/>
        </w:rPr>
        <w:t>Коефіцієнт швидкої ліквідності показує наскільки ліквідні кошти підприємства покривають його короткострокову заборгованість. В ліквідні активи підприємства включаються всі оборотні активи підприємства, за винятком товарно-матеріальних запасів. Рекомендоване значення даного показника від 0,7-0,8 до 1,5. Станом на 31.12.</w:t>
      </w:r>
      <w:r w:rsidR="004A576F" w:rsidRPr="004F7691">
        <w:rPr>
          <w:color w:val="000000" w:themeColor="text1"/>
          <w:lang w:eastAsia="uk-UA"/>
        </w:rPr>
        <w:t>20</w:t>
      </w:r>
      <w:r w:rsidR="004F7691" w:rsidRPr="004F7691">
        <w:rPr>
          <w:color w:val="000000" w:themeColor="text1"/>
          <w:lang w:eastAsia="uk-UA"/>
        </w:rPr>
        <w:t>20</w:t>
      </w:r>
      <w:r w:rsidRPr="004F7691">
        <w:rPr>
          <w:color w:val="000000" w:themeColor="text1"/>
          <w:lang w:eastAsia="uk-UA"/>
        </w:rPr>
        <w:t xml:space="preserve"> ліквідні кошти Компанії покривають її короткострокову заборгованість</w:t>
      </w:r>
      <w:r w:rsidR="000E33C2" w:rsidRPr="004F7691">
        <w:rPr>
          <w:color w:val="000000" w:themeColor="text1"/>
          <w:lang w:eastAsia="uk-UA"/>
        </w:rPr>
        <w:t xml:space="preserve"> на </w:t>
      </w:r>
      <w:r w:rsidR="00F5702B" w:rsidRPr="004F7691">
        <w:rPr>
          <w:color w:val="000000" w:themeColor="text1"/>
          <w:lang w:eastAsia="uk-UA"/>
        </w:rPr>
        <w:t>9</w:t>
      </w:r>
      <w:r w:rsidR="004F7691" w:rsidRPr="004F7691">
        <w:rPr>
          <w:color w:val="000000" w:themeColor="text1"/>
          <w:lang w:eastAsia="uk-UA"/>
        </w:rPr>
        <w:t>2</w:t>
      </w:r>
      <w:r w:rsidR="00CE6929" w:rsidRPr="004F7691">
        <w:rPr>
          <w:color w:val="000000" w:themeColor="text1"/>
          <w:lang w:eastAsia="uk-UA"/>
        </w:rPr>
        <w:t>,</w:t>
      </w:r>
      <w:r w:rsidR="004F7691" w:rsidRPr="004F7691">
        <w:rPr>
          <w:color w:val="000000" w:themeColor="text1"/>
          <w:lang w:val="ru-RU" w:eastAsia="uk-UA"/>
        </w:rPr>
        <w:t>8</w:t>
      </w:r>
      <w:r w:rsidR="00CE6929" w:rsidRPr="004F7691">
        <w:rPr>
          <w:color w:val="000000" w:themeColor="text1"/>
          <w:lang w:eastAsia="uk-UA"/>
        </w:rPr>
        <w:t> </w:t>
      </w:r>
      <w:r w:rsidR="000E33C2" w:rsidRPr="004F7691">
        <w:rPr>
          <w:color w:val="000000" w:themeColor="text1"/>
          <w:lang w:eastAsia="uk-UA"/>
        </w:rPr>
        <w:t>% (на 31.12.</w:t>
      </w:r>
      <w:r w:rsidR="004A576F" w:rsidRPr="004F7691">
        <w:rPr>
          <w:color w:val="000000" w:themeColor="text1"/>
          <w:lang w:eastAsia="uk-UA"/>
        </w:rPr>
        <w:t>201</w:t>
      </w:r>
      <w:r w:rsidR="004F7691" w:rsidRPr="004F7691">
        <w:rPr>
          <w:color w:val="000000" w:themeColor="text1"/>
          <w:lang w:eastAsia="uk-UA"/>
        </w:rPr>
        <w:t>9</w:t>
      </w:r>
      <w:r w:rsidR="000E33C2" w:rsidRPr="004F7691">
        <w:rPr>
          <w:color w:val="000000" w:themeColor="text1"/>
          <w:lang w:eastAsia="uk-UA"/>
        </w:rPr>
        <w:t xml:space="preserve"> – </w:t>
      </w:r>
      <w:r w:rsidR="00F5702B" w:rsidRPr="004F7691">
        <w:rPr>
          <w:color w:val="000000" w:themeColor="text1"/>
          <w:lang w:eastAsia="uk-UA"/>
        </w:rPr>
        <w:t>9</w:t>
      </w:r>
      <w:r w:rsidR="004F7691" w:rsidRPr="004F7691">
        <w:rPr>
          <w:color w:val="000000" w:themeColor="text1"/>
          <w:lang w:eastAsia="uk-UA"/>
        </w:rPr>
        <w:t>8</w:t>
      </w:r>
      <w:r w:rsidR="00F5702B" w:rsidRPr="004F7691">
        <w:rPr>
          <w:color w:val="000000" w:themeColor="text1"/>
          <w:lang w:eastAsia="uk-UA"/>
        </w:rPr>
        <w:t>,</w:t>
      </w:r>
      <w:r w:rsidR="004F7691" w:rsidRPr="004F7691">
        <w:rPr>
          <w:color w:val="000000" w:themeColor="text1"/>
          <w:lang w:eastAsia="uk-UA"/>
        </w:rPr>
        <w:t>4</w:t>
      </w:r>
      <w:r w:rsidR="00CE6929" w:rsidRPr="004F7691">
        <w:rPr>
          <w:color w:val="000000" w:themeColor="text1"/>
          <w:lang w:eastAsia="uk-UA"/>
        </w:rPr>
        <w:t> </w:t>
      </w:r>
      <w:r w:rsidRPr="004F7691">
        <w:rPr>
          <w:color w:val="000000" w:themeColor="text1"/>
          <w:lang w:eastAsia="uk-UA"/>
        </w:rPr>
        <w:t>%).</w:t>
      </w:r>
    </w:p>
    <w:p w14:paraId="0D4A34FE" w14:textId="2F61EB45" w:rsidR="00D7008C" w:rsidRPr="004F7691" w:rsidRDefault="00D7008C" w:rsidP="0043611D">
      <w:pPr>
        <w:pStyle w:val="af7"/>
        <w:rPr>
          <w:color w:val="000000" w:themeColor="text1"/>
          <w:lang w:eastAsia="uk-UA"/>
        </w:rPr>
      </w:pPr>
      <w:r w:rsidRPr="004F7691">
        <w:rPr>
          <w:color w:val="000000" w:themeColor="text1"/>
          <w:lang w:eastAsia="uk-UA"/>
        </w:rPr>
        <w:t>Коефіцієнт поточної ліквідності показує чи достатньо у підприємства коштів, які можуть бути використані ним для погашення своїх короткострокових зобов'язань протягом року. Рекомендоване значення даного показник</w:t>
      </w:r>
      <w:r w:rsidR="006B2C36" w:rsidRPr="004F7691">
        <w:rPr>
          <w:color w:val="000000" w:themeColor="text1"/>
          <w:lang w:eastAsia="uk-UA"/>
        </w:rPr>
        <w:t>а від 1 до 2. Станом на 31.12.20</w:t>
      </w:r>
      <w:r w:rsidR="004F7691" w:rsidRPr="004F7691">
        <w:rPr>
          <w:color w:val="000000" w:themeColor="text1"/>
          <w:lang w:eastAsia="uk-UA"/>
        </w:rPr>
        <w:t>20</w:t>
      </w:r>
      <w:r w:rsidR="00E50D86" w:rsidRPr="004F7691">
        <w:rPr>
          <w:color w:val="000000" w:themeColor="text1"/>
          <w:lang w:eastAsia="uk-UA"/>
        </w:rPr>
        <w:t xml:space="preserve"> </w:t>
      </w:r>
      <w:r w:rsidRPr="004F7691">
        <w:rPr>
          <w:color w:val="000000" w:themeColor="text1"/>
          <w:lang w:eastAsia="uk-UA"/>
        </w:rPr>
        <w:t>та на 31.12.</w:t>
      </w:r>
      <w:r w:rsidR="006B2C36" w:rsidRPr="004F7691">
        <w:rPr>
          <w:color w:val="000000" w:themeColor="text1"/>
          <w:lang w:eastAsia="uk-UA"/>
        </w:rPr>
        <w:t>201</w:t>
      </w:r>
      <w:r w:rsidR="004F7691" w:rsidRPr="004F7691">
        <w:rPr>
          <w:color w:val="000000" w:themeColor="text1"/>
          <w:lang w:eastAsia="uk-UA"/>
        </w:rPr>
        <w:t>9</w:t>
      </w:r>
      <w:r w:rsidRPr="004F7691">
        <w:rPr>
          <w:color w:val="000000" w:themeColor="text1"/>
          <w:lang w:eastAsia="uk-UA"/>
        </w:rPr>
        <w:t xml:space="preserve"> у Компанії достатньо коштів для погашення своїх короткострокових зобов’язань. </w:t>
      </w:r>
    </w:p>
    <w:p w14:paraId="09A1C648" w14:textId="2A4C5996" w:rsidR="00A760B1" w:rsidRPr="004F7691" w:rsidRDefault="00A760B1" w:rsidP="00A760B1">
      <w:pPr>
        <w:pStyle w:val="af7"/>
        <w:spacing w:before="240" w:after="240"/>
        <w:rPr>
          <w:bCs/>
          <w:iCs/>
          <w:color w:val="000000" w:themeColor="text1"/>
          <w:szCs w:val="20"/>
          <w:lang w:eastAsia="uk-UA"/>
        </w:rPr>
      </w:pPr>
      <w:r w:rsidRPr="004F7691">
        <w:rPr>
          <w:bCs/>
          <w:iCs/>
          <w:color w:val="000000" w:themeColor="text1"/>
          <w:szCs w:val="20"/>
          <w:lang w:eastAsia="uk-UA"/>
        </w:rPr>
        <w:t>У наступній таблиці наданий аналіз монетарних зобов’язань, згрупованих на підставі терміну, що залишився до дати погашення зобов’язання за контрактом, після 31 грудня 20</w:t>
      </w:r>
      <w:r w:rsidR="004F7691" w:rsidRPr="004F7691">
        <w:rPr>
          <w:bCs/>
          <w:iCs/>
          <w:color w:val="000000" w:themeColor="text1"/>
          <w:szCs w:val="20"/>
          <w:lang w:eastAsia="uk-UA"/>
        </w:rPr>
        <w:t>20</w:t>
      </w:r>
      <w:r w:rsidRPr="004F7691">
        <w:rPr>
          <w:bCs/>
          <w:iCs/>
          <w:color w:val="000000" w:themeColor="text1"/>
          <w:szCs w:val="20"/>
          <w:lang w:eastAsia="uk-UA"/>
        </w:rPr>
        <w:t xml:space="preserve"> року:</w:t>
      </w:r>
    </w:p>
    <w:tbl>
      <w:tblPr>
        <w:tblW w:w="5000" w:type="pct"/>
        <w:tblLook w:val="04A0" w:firstRow="1" w:lastRow="0" w:firstColumn="1" w:lastColumn="0" w:noHBand="0" w:noVBand="1"/>
      </w:tblPr>
      <w:tblGrid>
        <w:gridCol w:w="4962"/>
        <w:gridCol w:w="1222"/>
        <w:gridCol w:w="1237"/>
        <w:gridCol w:w="955"/>
        <w:gridCol w:w="1261"/>
      </w:tblGrid>
      <w:tr w:rsidR="00AF6B9C" w:rsidRPr="008756CD" w14:paraId="34BCF1BF" w14:textId="77777777" w:rsidTr="00AF6B9C">
        <w:trPr>
          <w:cantSplit/>
          <w:tblHeader/>
        </w:trPr>
        <w:tc>
          <w:tcPr>
            <w:tcW w:w="2574" w:type="pct"/>
            <w:tcBorders>
              <w:top w:val="nil"/>
              <w:left w:val="nil"/>
              <w:bottom w:val="single" w:sz="4" w:space="0" w:color="auto"/>
              <w:right w:val="nil"/>
            </w:tcBorders>
            <w:vAlign w:val="center"/>
            <w:hideMark/>
          </w:tcPr>
          <w:p w14:paraId="608D1DFB" w14:textId="62788977" w:rsidR="00A760B1" w:rsidRPr="004F7691" w:rsidRDefault="00AF6B9C" w:rsidP="009A7C3F">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lastRenderedPageBreak/>
              <w:t>27</w:t>
            </w:r>
            <w:r w:rsidR="00A760B1" w:rsidRPr="004F7691">
              <w:rPr>
                <w:rFonts w:asciiTheme="minorHAnsi" w:hAnsiTheme="minorHAnsi" w:cstheme="minorHAnsi"/>
                <w:b/>
                <w:bCs/>
                <w:color w:val="000000" w:themeColor="text1"/>
                <w:szCs w:val="20"/>
              </w:rPr>
              <w:t>.6 Зобов’язання</w:t>
            </w:r>
          </w:p>
          <w:p w14:paraId="20C4021F" w14:textId="06FE798E" w:rsidR="00A760B1" w:rsidRPr="004F7691" w:rsidRDefault="00A760B1" w:rsidP="004F7691">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у Звіті про фінансовий стан на 31.12.20</w:t>
            </w:r>
            <w:r w:rsidR="004F7691" w:rsidRPr="004F7691">
              <w:rPr>
                <w:rFonts w:asciiTheme="minorHAnsi" w:hAnsiTheme="minorHAnsi" w:cstheme="minorHAnsi"/>
                <w:b/>
                <w:bCs/>
                <w:color w:val="000000" w:themeColor="text1"/>
                <w:szCs w:val="20"/>
              </w:rPr>
              <w:t>20</w:t>
            </w:r>
            <w:r w:rsidRPr="004F7691">
              <w:rPr>
                <w:rFonts w:asciiTheme="minorHAnsi" w:hAnsiTheme="minorHAnsi" w:cstheme="minorHAnsi"/>
                <w:b/>
                <w:bCs/>
                <w:color w:val="000000" w:themeColor="text1"/>
                <w:szCs w:val="20"/>
              </w:rPr>
              <w:t xml:space="preserve"> року</w:t>
            </w:r>
          </w:p>
        </w:tc>
        <w:tc>
          <w:tcPr>
            <w:tcW w:w="634" w:type="pct"/>
            <w:tcBorders>
              <w:top w:val="nil"/>
              <w:left w:val="nil"/>
              <w:bottom w:val="single" w:sz="4" w:space="0" w:color="auto"/>
              <w:right w:val="nil"/>
            </w:tcBorders>
            <w:vAlign w:val="center"/>
            <w:hideMark/>
          </w:tcPr>
          <w:p w14:paraId="1A92343C" w14:textId="77777777" w:rsidR="00A760B1" w:rsidRPr="004F7691" w:rsidRDefault="00A760B1" w:rsidP="009A7C3F">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 xml:space="preserve">До </w:t>
            </w:r>
          </w:p>
          <w:p w14:paraId="75EA9485" w14:textId="77777777" w:rsidR="00A760B1" w:rsidRPr="004F7691" w:rsidRDefault="00A760B1" w:rsidP="009A7C3F">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1 року</w:t>
            </w:r>
          </w:p>
        </w:tc>
        <w:tc>
          <w:tcPr>
            <w:tcW w:w="642" w:type="pct"/>
            <w:tcBorders>
              <w:top w:val="nil"/>
              <w:left w:val="nil"/>
              <w:bottom w:val="single" w:sz="4" w:space="0" w:color="auto"/>
              <w:right w:val="nil"/>
            </w:tcBorders>
            <w:vAlign w:val="center"/>
            <w:hideMark/>
          </w:tcPr>
          <w:p w14:paraId="4350B165" w14:textId="77777777" w:rsidR="00A760B1" w:rsidRPr="004F7691" w:rsidRDefault="00A760B1" w:rsidP="009A7C3F">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 xml:space="preserve">Від 1 року </w:t>
            </w:r>
          </w:p>
          <w:p w14:paraId="09B24BEF" w14:textId="77777777" w:rsidR="00A760B1" w:rsidRPr="004F7691" w:rsidRDefault="00A760B1" w:rsidP="009A7C3F">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до 5 років</w:t>
            </w:r>
          </w:p>
        </w:tc>
        <w:tc>
          <w:tcPr>
            <w:tcW w:w="495" w:type="pct"/>
            <w:tcBorders>
              <w:top w:val="nil"/>
              <w:left w:val="nil"/>
              <w:bottom w:val="single" w:sz="4" w:space="0" w:color="auto"/>
            </w:tcBorders>
            <w:vAlign w:val="center"/>
            <w:hideMark/>
          </w:tcPr>
          <w:p w14:paraId="1817B3F1" w14:textId="77777777" w:rsidR="00A760B1" w:rsidRPr="004F7691" w:rsidRDefault="00A760B1" w:rsidP="009A7C3F">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Більше 5 років</w:t>
            </w:r>
          </w:p>
        </w:tc>
        <w:tc>
          <w:tcPr>
            <w:tcW w:w="654" w:type="pct"/>
            <w:tcBorders>
              <w:top w:val="nil"/>
              <w:bottom w:val="single" w:sz="4" w:space="0" w:color="auto"/>
              <w:right w:val="nil"/>
            </w:tcBorders>
            <w:vAlign w:val="center"/>
          </w:tcPr>
          <w:p w14:paraId="605EED28" w14:textId="77777777" w:rsidR="00A760B1" w:rsidRPr="004F7691" w:rsidRDefault="00A760B1" w:rsidP="009A7C3F">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Разом</w:t>
            </w:r>
          </w:p>
        </w:tc>
      </w:tr>
      <w:tr w:rsidR="004F7691" w:rsidRPr="008756CD" w14:paraId="58268B4B" w14:textId="77777777" w:rsidTr="00AF6B9C">
        <w:trPr>
          <w:cantSplit/>
          <w:trHeight w:val="255"/>
        </w:trPr>
        <w:tc>
          <w:tcPr>
            <w:tcW w:w="2574" w:type="pct"/>
            <w:tcBorders>
              <w:top w:val="nil"/>
              <w:left w:val="nil"/>
              <w:right w:val="nil"/>
            </w:tcBorders>
            <w:vAlign w:val="center"/>
          </w:tcPr>
          <w:p w14:paraId="4F92FA89" w14:textId="77777777" w:rsidR="004F7691" w:rsidRPr="004F7691" w:rsidRDefault="004F7691" w:rsidP="004F7691">
            <w:pPr>
              <w:jc w:val="left"/>
              <w:rPr>
                <w:rFonts w:asciiTheme="minorHAnsi" w:hAnsiTheme="minorHAnsi" w:cstheme="minorHAnsi"/>
                <w:color w:val="000000" w:themeColor="text1"/>
                <w:szCs w:val="20"/>
              </w:rPr>
            </w:pPr>
            <w:r w:rsidRPr="004F7691">
              <w:rPr>
                <w:color w:val="000000" w:themeColor="text1"/>
                <w:szCs w:val="20"/>
              </w:rPr>
              <w:t>Кредити та позики</w:t>
            </w:r>
          </w:p>
        </w:tc>
        <w:tc>
          <w:tcPr>
            <w:tcW w:w="634" w:type="pct"/>
            <w:tcBorders>
              <w:top w:val="nil"/>
              <w:left w:val="nil"/>
              <w:right w:val="nil"/>
            </w:tcBorders>
            <w:vAlign w:val="center"/>
          </w:tcPr>
          <w:p w14:paraId="54A244EB" w14:textId="20B07BAA"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532 692 </w:t>
            </w:r>
          </w:p>
        </w:tc>
        <w:tc>
          <w:tcPr>
            <w:tcW w:w="642" w:type="pct"/>
            <w:tcBorders>
              <w:top w:val="nil"/>
              <w:left w:val="nil"/>
              <w:right w:val="nil"/>
            </w:tcBorders>
            <w:vAlign w:val="center"/>
          </w:tcPr>
          <w:p w14:paraId="703ABB78" w14:textId="5DE4D140"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495" w:type="pct"/>
            <w:tcBorders>
              <w:top w:val="nil"/>
              <w:left w:val="nil"/>
            </w:tcBorders>
            <w:vAlign w:val="center"/>
          </w:tcPr>
          <w:p w14:paraId="1836CB1B" w14:textId="5FD528CA"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654" w:type="pct"/>
            <w:tcBorders>
              <w:top w:val="nil"/>
              <w:right w:val="nil"/>
            </w:tcBorders>
            <w:vAlign w:val="center"/>
          </w:tcPr>
          <w:p w14:paraId="091A7C7D" w14:textId="0D33574A" w:rsidR="004F7691" w:rsidRPr="004F7691" w:rsidRDefault="004F7691" w:rsidP="004F7691">
            <w:pPr>
              <w:jc w:val="right"/>
              <w:rPr>
                <w:rFonts w:asciiTheme="minorHAnsi" w:hAnsiTheme="minorHAnsi" w:cstheme="minorHAnsi"/>
                <w:b/>
                <w:bCs/>
                <w:color w:val="000000" w:themeColor="text1"/>
                <w:szCs w:val="20"/>
              </w:rPr>
            </w:pPr>
            <w:r w:rsidRPr="004F7691">
              <w:rPr>
                <w:color w:val="000000" w:themeColor="text1"/>
                <w:szCs w:val="20"/>
              </w:rPr>
              <w:t xml:space="preserve">532 692 </w:t>
            </w:r>
          </w:p>
        </w:tc>
      </w:tr>
      <w:tr w:rsidR="004F7691" w:rsidRPr="008756CD" w14:paraId="121CDA3E" w14:textId="77777777" w:rsidTr="00AF6B9C">
        <w:trPr>
          <w:cantSplit/>
          <w:trHeight w:val="255"/>
        </w:trPr>
        <w:tc>
          <w:tcPr>
            <w:tcW w:w="2574" w:type="pct"/>
            <w:tcBorders>
              <w:top w:val="nil"/>
              <w:left w:val="nil"/>
              <w:right w:val="nil"/>
            </w:tcBorders>
            <w:vAlign w:val="center"/>
            <w:hideMark/>
          </w:tcPr>
          <w:p w14:paraId="59BAABD0" w14:textId="77777777" w:rsidR="004F7691" w:rsidRPr="004F7691" w:rsidRDefault="004F7691" w:rsidP="004F7691">
            <w:pPr>
              <w:jc w:val="left"/>
              <w:rPr>
                <w:rFonts w:asciiTheme="minorHAnsi" w:hAnsiTheme="minorHAnsi" w:cstheme="minorHAnsi"/>
                <w:color w:val="000000" w:themeColor="text1"/>
                <w:szCs w:val="20"/>
              </w:rPr>
            </w:pPr>
            <w:r w:rsidRPr="004F7691">
              <w:rPr>
                <w:color w:val="000000" w:themeColor="text1"/>
                <w:szCs w:val="20"/>
              </w:rPr>
              <w:t>Торговельна та інша кредиторська заборгованість</w:t>
            </w:r>
          </w:p>
        </w:tc>
        <w:tc>
          <w:tcPr>
            <w:tcW w:w="634" w:type="pct"/>
            <w:tcBorders>
              <w:top w:val="nil"/>
              <w:left w:val="nil"/>
              <w:right w:val="nil"/>
            </w:tcBorders>
            <w:vAlign w:val="center"/>
          </w:tcPr>
          <w:p w14:paraId="695E3628" w14:textId="4A0F4BED"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1 090 018 </w:t>
            </w:r>
          </w:p>
        </w:tc>
        <w:tc>
          <w:tcPr>
            <w:tcW w:w="642" w:type="pct"/>
            <w:tcBorders>
              <w:top w:val="nil"/>
              <w:left w:val="nil"/>
              <w:right w:val="nil"/>
            </w:tcBorders>
            <w:vAlign w:val="center"/>
          </w:tcPr>
          <w:p w14:paraId="5E509670" w14:textId="5B2997AE"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495" w:type="pct"/>
            <w:tcBorders>
              <w:top w:val="nil"/>
              <w:left w:val="nil"/>
            </w:tcBorders>
            <w:vAlign w:val="center"/>
          </w:tcPr>
          <w:p w14:paraId="54A834D5" w14:textId="30E81EDF"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654" w:type="pct"/>
            <w:tcBorders>
              <w:top w:val="nil"/>
              <w:right w:val="nil"/>
            </w:tcBorders>
            <w:vAlign w:val="center"/>
          </w:tcPr>
          <w:p w14:paraId="53FFA9AB" w14:textId="29B53B8B" w:rsidR="004F7691" w:rsidRPr="004F7691" w:rsidRDefault="004F7691" w:rsidP="004F7691">
            <w:pPr>
              <w:jc w:val="right"/>
              <w:rPr>
                <w:rFonts w:asciiTheme="minorHAnsi" w:hAnsiTheme="minorHAnsi" w:cstheme="minorHAnsi"/>
                <w:b/>
                <w:bCs/>
                <w:color w:val="000000" w:themeColor="text1"/>
                <w:szCs w:val="20"/>
              </w:rPr>
            </w:pPr>
            <w:r w:rsidRPr="004F7691">
              <w:rPr>
                <w:color w:val="000000" w:themeColor="text1"/>
                <w:szCs w:val="20"/>
              </w:rPr>
              <w:t xml:space="preserve">1 090 018 </w:t>
            </w:r>
          </w:p>
        </w:tc>
      </w:tr>
      <w:tr w:rsidR="004F7691" w:rsidRPr="004F7691" w14:paraId="001804F3" w14:textId="77777777" w:rsidTr="00AF6B9C">
        <w:trPr>
          <w:cantSplit/>
          <w:trHeight w:val="255"/>
        </w:trPr>
        <w:tc>
          <w:tcPr>
            <w:tcW w:w="2574" w:type="pct"/>
            <w:tcBorders>
              <w:top w:val="single" w:sz="4" w:space="0" w:color="auto"/>
              <w:left w:val="nil"/>
              <w:bottom w:val="nil"/>
              <w:right w:val="nil"/>
            </w:tcBorders>
            <w:vAlign w:val="center"/>
            <w:hideMark/>
          </w:tcPr>
          <w:p w14:paraId="77ED3D2F" w14:textId="77777777" w:rsidR="004F7691" w:rsidRPr="004F7691" w:rsidRDefault="004F7691" w:rsidP="004F7691">
            <w:pPr>
              <w:pStyle w:val="af7"/>
              <w:spacing w:before="0" w:after="0"/>
              <w:jc w:val="lef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Разом:</w:t>
            </w:r>
          </w:p>
        </w:tc>
        <w:tc>
          <w:tcPr>
            <w:tcW w:w="634" w:type="pct"/>
            <w:tcBorders>
              <w:top w:val="single" w:sz="4" w:space="0" w:color="auto"/>
              <w:left w:val="nil"/>
              <w:bottom w:val="nil"/>
              <w:right w:val="nil"/>
            </w:tcBorders>
            <w:vAlign w:val="center"/>
          </w:tcPr>
          <w:p w14:paraId="63512AE9" w14:textId="2CFB6630" w:rsidR="004F7691" w:rsidRPr="004F7691" w:rsidRDefault="004F7691" w:rsidP="004F7691">
            <w:pPr>
              <w:jc w:val="right"/>
              <w:rPr>
                <w:rFonts w:asciiTheme="minorHAnsi" w:hAnsiTheme="minorHAnsi" w:cstheme="minorHAnsi"/>
                <w:b/>
                <w:bCs/>
                <w:color w:val="000000" w:themeColor="text1"/>
                <w:szCs w:val="20"/>
                <w:lang w:val="en-US"/>
              </w:rPr>
            </w:pPr>
            <w:r w:rsidRPr="004F7691">
              <w:rPr>
                <w:b/>
                <w:bCs/>
                <w:color w:val="000000" w:themeColor="text1"/>
                <w:szCs w:val="20"/>
              </w:rPr>
              <w:t xml:space="preserve">1 622 710 </w:t>
            </w:r>
          </w:p>
        </w:tc>
        <w:tc>
          <w:tcPr>
            <w:tcW w:w="642" w:type="pct"/>
            <w:tcBorders>
              <w:top w:val="single" w:sz="4" w:space="0" w:color="auto"/>
              <w:left w:val="nil"/>
              <w:bottom w:val="nil"/>
              <w:right w:val="nil"/>
            </w:tcBorders>
            <w:vAlign w:val="center"/>
          </w:tcPr>
          <w:p w14:paraId="3BE809C8" w14:textId="69A61716" w:rsidR="004F7691" w:rsidRPr="004F7691" w:rsidRDefault="004F7691" w:rsidP="004F7691">
            <w:pPr>
              <w:jc w:val="right"/>
              <w:rPr>
                <w:rFonts w:asciiTheme="minorHAnsi" w:hAnsiTheme="minorHAnsi" w:cstheme="minorHAnsi"/>
                <w:b/>
                <w:bCs/>
                <w:color w:val="000000" w:themeColor="text1"/>
                <w:szCs w:val="20"/>
              </w:rPr>
            </w:pPr>
            <w:r w:rsidRPr="004F7691">
              <w:rPr>
                <w:b/>
                <w:bCs/>
                <w:color w:val="000000" w:themeColor="text1"/>
                <w:szCs w:val="20"/>
              </w:rPr>
              <w:t xml:space="preserve">-  </w:t>
            </w:r>
          </w:p>
        </w:tc>
        <w:tc>
          <w:tcPr>
            <w:tcW w:w="495" w:type="pct"/>
            <w:tcBorders>
              <w:top w:val="single" w:sz="4" w:space="0" w:color="auto"/>
              <w:left w:val="nil"/>
              <w:bottom w:val="nil"/>
            </w:tcBorders>
            <w:vAlign w:val="center"/>
          </w:tcPr>
          <w:p w14:paraId="4FCC0F07" w14:textId="16AAFAD7" w:rsidR="004F7691" w:rsidRPr="004F7691" w:rsidRDefault="004F7691" w:rsidP="004F7691">
            <w:pPr>
              <w:jc w:val="right"/>
              <w:rPr>
                <w:rFonts w:asciiTheme="minorHAnsi" w:hAnsiTheme="minorHAnsi" w:cstheme="minorHAnsi"/>
                <w:b/>
                <w:bCs/>
                <w:color w:val="000000" w:themeColor="text1"/>
                <w:szCs w:val="20"/>
              </w:rPr>
            </w:pPr>
            <w:r w:rsidRPr="004F7691">
              <w:rPr>
                <w:b/>
                <w:bCs/>
                <w:color w:val="000000" w:themeColor="text1"/>
                <w:szCs w:val="20"/>
              </w:rPr>
              <w:t xml:space="preserve">-  </w:t>
            </w:r>
          </w:p>
        </w:tc>
        <w:tc>
          <w:tcPr>
            <w:tcW w:w="654" w:type="pct"/>
            <w:tcBorders>
              <w:top w:val="single" w:sz="4" w:space="0" w:color="auto"/>
              <w:bottom w:val="nil"/>
              <w:right w:val="nil"/>
            </w:tcBorders>
            <w:vAlign w:val="center"/>
          </w:tcPr>
          <w:p w14:paraId="6269636C" w14:textId="02A3305B" w:rsidR="004F7691" w:rsidRPr="004F7691" w:rsidRDefault="004F7691" w:rsidP="004F7691">
            <w:pPr>
              <w:jc w:val="right"/>
              <w:rPr>
                <w:rFonts w:asciiTheme="minorHAnsi" w:hAnsiTheme="minorHAnsi" w:cstheme="minorHAnsi"/>
                <w:b/>
                <w:bCs/>
                <w:color w:val="000000" w:themeColor="text1"/>
                <w:szCs w:val="20"/>
                <w:lang w:val="en-US"/>
              </w:rPr>
            </w:pPr>
            <w:r w:rsidRPr="004F7691">
              <w:rPr>
                <w:b/>
                <w:bCs/>
                <w:color w:val="000000" w:themeColor="text1"/>
                <w:szCs w:val="20"/>
              </w:rPr>
              <w:t xml:space="preserve">1 622 710 </w:t>
            </w:r>
          </w:p>
        </w:tc>
      </w:tr>
    </w:tbl>
    <w:p w14:paraId="24016395" w14:textId="77777777" w:rsidR="00A760B1" w:rsidRPr="004F7691" w:rsidRDefault="00A760B1" w:rsidP="0043611D">
      <w:pPr>
        <w:pStyle w:val="af7"/>
        <w:rPr>
          <w:rFonts w:asciiTheme="minorHAnsi" w:hAnsiTheme="minorHAnsi" w:cstheme="minorHAnsi"/>
          <w:color w:val="000000" w:themeColor="text1"/>
          <w:szCs w:val="20"/>
          <w:lang w:eastAsia="uk-UA"/>
        </w:rPr>
      </w:pPr>
    </w:p>
    <w:p w14:paraId="72DFA63F" w14:textId="3A2D5772" w:rsidR="00D7008C" w:rsidRPr="004F7691" w:rsidRDefault="00D7008C" w:rsidP="00A760B1">
      <w:pPr>
        <w:pStyle w:val="af7"/>
        <w:spacing w:after="240"/>
        <w:rPr>
          <w:rFonts w:asciiTheme="minorHAnsi" w:hAnsiTheme="minorHAnsi" w:cstheme="minorHAnsi"/>
          <w:bCs/>
          <w:iCs/>
          <w:color w:val="000000" w:themeColor="text1"/>
          <w:szCs w:val="20"/>
          <w:lang w:eastAsia="uk-UA"/>
        </w:rPr>
      </w:pPr>
      <w:r w:rsidRPr="004F7691">
        <w:rPr>
          <w:rFonts w:asciiTheme="minorHAnsi" w:hAnsiTheme="minorHAnsi" w:cstheme="minorHAnsi"/>
          <w:bCs/>
          <w:iCs/>
          <w:color w:val="000000" w:themeColor="text1"/>
          <w:szCs w:val="20"/>
          <w:lang w:eastAsia="uk-UA"/>
        </w:rPr>
        <w:t xml:space="preserve">У наступній таблиці наданий аналіз монетарних зобов’язань, згрупованих на підставі терміну, що залишився до дати погашення зобов’язання за </w:t>
      </w:r>
      <w:r w:rsidR="006B2C36" w:rsidRPr="004F7691">
        <w:rPr>
          <w:rFonts w:asciiTheme="minorHAnsi" w:hAnsiTheme="minorHAnsi" w:cstheme="minorHAnsi"/>
          <w:bCs/>
          <w:iCs/>
          <w:color w:val="000000" w:themeColor="text1"/>
          <w:szCs w:val="20"/>
          <w:lang w:eastAsia="uk-UA"/>
        </w:rPr>
        <w:t>контрактом, після 31 грудня 201</w:t>
      </w:r>
      <w:r w:rsidR="004F7691" w:rsidRPr="004F7691">
        <w:rPr>
          <w:rFonts w:asciiTheme="minorHAnsi" w:hAnsiTheme="minorHAnsi" w:cstheme="minorHAnsi"/>
          <w:bCs/>
          <w:iCs/>
          <w:color w:val="000000" w:themeColor="text1"/>
          <w:szCs w:val="20"/>
          <w:lang w:eastAsia="uk-UA"/>
        </w:rPr>
        <w:t>9</w:t>
      </w:r>
      <w:r w:rsidR="005D5E02" w:rsidRPr="004F7691">
        <w:rPr>
          <w:rFonts w:asciiTheme="minorHAnsi" w:hAnsiTheme="minorHAnsi" w:cstheme="minorHAnsi"/>
          <w:bCs/>
          <w:iCs/>
          <w:color w:val="000000" w:themeColor="text1"/>
          <w:szCs w:val="20"/>
          <w:lang w:eastAsia="uk-UA"/>
        </w:rPr>
        <w:t xml:space="preserve"> </w:t>
      </w:r>
      <w:r w:rsidRPr="004F7691">
        <w:rPr>
          <w:rFonts w:asciiTheme="minorHAnsi" w:hAnsiTheme="minorHAnsi" w:cstheme="minorHAnsi"/>
          <w:bCs/>
          <w:iCs/>
          <w:color w:val="000000" w:themeColor="text1"/>
          <w:szCs w:val="20"/>
          <w:lang w:eastAsia="uk-UA"/>
        </w:rPr>
        <w:t>року:</w:t>
      </w:r>
    </w:p>
    <w:tbl>
      <w:tblPr>
        <w:tblW w:w="5000" w:type="pct"/>
        <w:tblLook w:val="04A0" w:firstRow="1" w:lastRow="0" w:firstColumn="1" w:lastColumn="0" w:noHBand="0" w:noVBand="1"/>
      </w:tblPr>
      <w:tblGrid>
        <w:gridCol w:w="4964"/>
        <w:gridCol w:w="1220"/>
        <w:gridCol w:w="1237"/>
        <w:gridCol w:w="955"/>
        <w:gridCol w:w="1261"/>
      </w:tblGrid>
      <w:tr w:rsidR="00AF6B9C" w:rsidRPr="004F7691" w14:paraId="2FED2394" w14:textId="77777777" w:rsidTr="004F7691">
        <w:trPr>
          <w:cantSplit/>
          <w:tblHeader/>
        </w:trPr>
        <w:tc>
          <w:tcPr>
            <w:tcW w:w="2575" w:type="pct"/>
            <w:tcBorders>
              <w:top w:val="nil"/>
              <w:left w:val="nil"/>
              <w:bottom w:val="single" w:sz="4" w:space="0" w:color="auto"/>
              <w:right w:val="nil"/>
            </w:tcBorders>
            <w:vAlign w:val="center"/>
            <w:hideMark/>
          </w:tcPr>
          <w:p w14:paraId="08F9C503" w14:textId="7D404433" w:rsidR="00E50D86" w:rsidRPr="004F7691" w:rsidRDefault="00E50D86" w:rsidP="00DC2941">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2</w:t>
            </w:r>
            <w:r w:rsidR="00AF6B9C" w:rsidRPr="004F7691">
              <w:rPr>
                <w:rFonts w:asciiTheme="minorHAnsi" w:hAnsiTheme="minorHAnsi" w:cstheme="minorHAnsi"/>
                <w:b/>
                <w:bCs/>
                <w:color w:val="000000" w:themeColor="text1"/>
                <w:szCs w:val="20"/>
              </w:rPr>
              <w:t>7</w:t>
            </w:r>
            <w:r w:rsidR="00A760B1" w:rsidRPr="004F7691">
              <w:rPr>
                <w:rFonts w:asciiTheme="minorHAnsi" w:hAnsiTheme="minorHAnsi" w:cstheme="minorHAnsi"/>
                <w:b/>
                <w:bCs/>
                <w:color w:val="000000" w:themeColor="text1"/>
                <w:szCs w:val="20"/>
              </w:rPr>
              <w:t>.7</w:t>
            </w:r>
            <w:r w:rsidRPr="004F7691">
              <w:rPr>
                <w:rFonts w:asciiTheme="minorHAnsi" w:hAnsiTheme="minorHAnsi" w:cstheme="minorHAnsi"/>
                <w:b/>
                <w:bCs/>
                <w:color w:val="000000" w:themeColor="text1"/>
                <w:szCs w:val="20"/>
              </w:rPr>
              <w:t xml:space="preserve"> Зобов’язання</w:t>
            </w:r>
          </w:p>
          <w:p w14:paraId="5B416A32" w14:textId="62146227" w:rsidR="00E50D86" w:rsidRPr="004F7691" w:rsidRDefault="00852D01" w:rsidP="00852D01">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у Звіті про фінансовий стан</w:t>
            </w:r>
            <w:r w:rsidR="00C121E0" w:rsidRPr="004F7691">
              <w:rPr>
                <w:rFonts w:asciiTheme="minorHAnsi" w:hAnsiTheme="minorHAnsi" w:cstheme="minorHAnsi"/>
                <w:b/>
                <w:bCs/>
                <w:color w:val="000000" w:themeColor="text1"/>
                <w:szCs w:val="20"/>
              </w:rPr>
              <w:t xml:space="preserve"> на 31.12.201</w:t>
            </w:r>
            <w:r w:rsidR="004B4FAE">
              <w:rPr>
                <w:rFonts w:asciiTheme="minorHAnsi" w:hAnsiTheme="minorHAnsi" w:cstheme="minorHAnsi"/>
                <w:b/>
                <w:bCs/>
                <w:color w:val="000000" w:themeColor="text1"/>
                <w:szCs w:val="20"/>
              </w:rPr>
              <w:t>9</w:t>
            </w:r>
            <w:r w:rsidR="00C121E0" w:rsidRPr="004F7691">
              <w:rPr>
                <w:rFonts w:asciiTheme="minorHAnsi" w:hAnsiTheme="minorHAnsi" w:cstheme="minorHAnsi"/>
                <w:b/>
                <w:bCs/>
                <w:color w:val="000000" w:themeColor="text1"/>
                <w:szCs w:val="20"/>
              </w:rPr>
              <w:t xml:space="preserve"> року</w:t>
            </w:r>
          </w:p>
          <w:p w14:paraId="7107BCF5" w14:textId="4657537F" w:rsidR="004F7691" w:rsidRPr="004F7691" w:rsidRDefault="004F7691" w:rsidP="00852D01">
            <w:pPr>
              <w:jc w:val="left"/>
              <w:rPr>
                <w:rFonts w:asciiTheme="minorHAnsi" w:hAnsiTheme="minorHAnsi" w:cstheme="minorHAnsi"/>
                <w:b/>
                <w:bCs/>
                <w:color w:val="000000" w:themeColor="text1"/>
                <w:szCs w:val="20"/>
              </w:rPr>
            </w:pPr>
            <w:r w:rsidRPr="004F7691">
              <w:rPr>
                <w:rFonts w:asciiTheme="minorHAnsi" w:hAnsiTheme="minorHAnsi" w:cstheme="minorHAnsi"/>
                <w:b/>
                <w:bCs/>
                <w:color w:val="000000" w:themeColor="text1"/>
                <w:szCs w:val="20"/>
              </w:rPr>
              <w:t>(перераховано)</w:t>
            </w:r>
          </w:p>
        </w:tc>
        <w:tc>
          <w:tcPr>
            <w:tcW w:w="633" w:type="pct"/>
            <w:tcBorders>
              <w:top w:val="nil"/>
              <w:left w:val="nil"/>
              <w:bottom w:val="single" w:sz="4" w:space="0" w:color="auto"/>
              <w:right w:val="nil"/>
            </w:tcBorders>
            <w:vAlign w:val="center"/>
            <w:hideMark/>
          </w:tcPr>
          <w:p w14:paraId="50E8FE09" w14:textId="77777777" w:rsidR="00E50D86" w:rsidRPr="004F7691" w:rsidRDefault="00E50D86" w:rsidP="00DC2941">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 xml:space="preserve">До </w:t>
            </w:r>
          </w:p>
          <w:p w14:paraId="15668301" w14:textId="77777777" w:rsidR="00E50D86" w:rsidRPr="004F7691" w:rsidRDefault="00E50D86" w:rsidP="00DC2941">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1 року</w:t>
            </w:r>
          </w:p>
        </w:tc>
        <w:tc>
          <w:tcPr>
            <w:tcW w:w="642" w:type="pct"/>
            <w:tcBorders>
              <w:top w:val="nil"/>
              <w:left w:val="nil"/>
              <w:bottom w:val="single" w:sz="4" w:space="0" w:color="auto"/>
              <w:right w:val="nil"/>
            </w:tcBorders>
            <w:vAlign w:val="center"/>
            <w:hideMark/>
          </w:tcPr>
          <w:p w14:paraId="18BC67C7" w14:textId="77777777" w:rsidR="00E50D86" w:rsidRPr="004F7691" w:rsidRDefault="00E50D86" w:rsidP="00DC2941">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 xml:space="preserve">Від 1 року </w:t>
            </w:r>
          </w:p>
          <w:p w14:paraId="0EE5E96E" w14:textId="77777777" w:rsidR="00E50D86" w:rsidRPr="004F7691" w:rsidRDefault="00E50D86" w:rsidP="00DC2941">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до 5 років</w:t>
            </w:r>
          </w:p>
        </w:tc>
        <w:tc>
          <w:tcPr>
            <w:tcW w:w="495" w:type="pct"/>
            <w:tcBorders>
              <w:top w:val="nil"/>
              <w:left w:val="nil"/>
              <w:bottom w:val="single" w:sz="4" w:space="0" w:color="auto"/>
            </w:tcBorders>
            <w:vAlign w:val="center"/>
            <w:hideMark/>
          </w:tcPr>
          <w:p w14:paraId="2538D3EA" w14:textId="77777777" w:rsidR="00E50D86" w:rsidRPr="004F7691" w:rsidRDefault="00E50D86" w:rsidP="00DC2941">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Більше 5 років</w:t>
            </w:r>
          </w:p>
        </w:tc>
        <w:tc>
          <w:tcPr>
            <w:tcW w:w="654" w:type="pct"/>
            <w:tcBorders>
              <w:top w:val="nil"/>
              <w:bottom w:val="single" w:sz="4" w:space="0" w:color="auto"/>
              <w:right w:val="nil"/>
            </w:tcBorders>
            <w:vAlign w:val="center"/>
          </w:tcPr>
          <w:p w14:paraId="10267F45" w14:textId="77777777" w:rsidR="00E50D86" w:rsidRPr="004F7691" w:rsidRDefault="00E50D86" w:rsidP="00DC2941">
            <w:pPr>
              <w:suppressAutoHyphens/>
              <w:ind w:right="11"/>
              <w:jc w:val="righ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Разом</w:t>
            </w:r>
          </w:p>
        </w:tc>
      </w:tr>
      <w:tr w:rsidR="004F7691" w:rsidRPr="004F7691" w14:paraId="15780FBA" w14:textId="77777777" w:rsidTr="004F7691">
        <w:trPr>
          <w:cantSplit/>
          <w:trHeight w:val="255"/>
        </w:trPr>
        <w:tc>
          <w:tcPr>
            <w:tcW w:w="2575" w:type="pct"/>
            <w:tcBorders>
              <w:top w:val="nil"/>
              <w:left w:val="nil"/>
              <w:right w:val="nil"/>
            </w:tcBorders>
            <w:vAlign w:val="center"/>
          </w:tcPr>
          <w:p w14:paraId="488E25D4" w14:textId="3D55211C" w:rsidR="004F7691" w:rsidRPr="004F7691" w:rsidRDefault="004F7691" w:rsidP="004F7691">
            <w:pPr>
              <w:jc w:val="left"/>
              <w:rPr>
                <w:rFonts w:asciiTheme="minorHAnsi" w:hAnsiTheme="minorHAnsi" w:cstheme="minorHAnsi"/>
                <w:color w:val="000000" w:themeColor="text1"/>
                <w:szCs w:val="20"/>
              </w:rPr>
            </w:pPr>
            <w:r w:rsidRPr="004F7691">
              <w:rPr>
                <w:color w:val="000000" w:themeColor="text1"/>
                <w:szCs w:val="20"/>
              </w:rPr>
              <w:t>Кредити та позики</w:t>
            </w:r>
          </w:p>
        </w:tc>
        <w:tc>
          <w:tcPr>
            <w:tcW w:w="633" w:type="pct"/>
            <w:tcBorders>
              <w:top w:val="nil"/>
              <w:left w:val="nil"/>
              <w:right w:val="nil"/>
            </w:tcBorders>
            <w:vAlign w:val="center"/>
          </w:tcPr>
          <w:p w14:paraId="104E0525" w14:textId="647E852F"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532 692 </w:t>
            </w:r>
          </w:p>
        </w:tc>
        <w:tc>
          <w:tcPr>
            <w:tcW w:w="642" w:type="pct"/>
            <w:tcBorders>
              <w:top w:val="nil"/>
              <w:left w:val="nil"/>
              <w:right w:val="nil"/>
            </w:tcBorders>
            <w:vAlign w:val="center"/>
          </w:tcPr>
          <w:p w14:paraId="1C2808BA" w14:textId="723EA75B"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495" w:type="pct"/>
            <w:tcBorders>
              <w:top w:val="nil"/>
              <w:left w:val="nil"/>
            </w:tcBorders>
            <w:vAlign w:val="center"/>
          </w:tcPr>
          <w:p w14:paraId="46E38875" w14:textId="725BB593"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654" w:type="pct"/>
            <w:tcBorders>
              <w:top w:val="nil"/>
              <w:right w:val="nil"/>
            </w:tcBorders>
            <w:vAlign w:val="center"/>
          </w:tcPr>
          <w:p w14:paraId="21F6D5E2" w14:textId="5D75CFDD" w:rsidR="004F7691" w:rsidRPr="004F7691" w:rsidRDefault="004F7691" w:rsidP="004F7691">
            <w:pPr>
              <w:jc w:val="right"/>
              <w:rPr>
                <w:rFonts w:asciiTheme="minorHAnsi" w:hAnsiTheme="minorHAnsi" w:cstheme="minorHAnsi"/>
                <w:b/>
                <w:bCs/>
                <w:color w:val="000000" w:themeColor="text1"/>
                <w:szCs w:val="20"/>
              </w:rPr>
            </w:pPr>
            <w:r w:rsidRPr="004F7691">
              <w:rPr>
                <w:color w:val="000000" w:themeColor="text1"/>
                <w:szCs w:val="20"/>
              </w:rPr>
              <w:t xml:space="preserve">532 692 </w:t>
            </w:r>
          </w:p>
        </w:tc>
      </w:tr>
      <w:tr w:rsidR="004F7691" w:rsidRPr="004F7691" w14:paraId="78B3002A" w14:textId="77777777" w:rsidTr="004F7691">
        <w:trPr>
          <w:cantSplit/>
          <w:trHeight w:val="255"/>
        </w:trPr>
        <w:tc>
          <w:tcPr>
            <w:tcW w:w="2575" w:type="pct"/>
            <w:tcBorders>
              <w:top w:val="nil"/>
              <w:left w:val="nil"/>
              <w:right w:val="nil"/>
            </w:tcBorders>
            <w:vAlign w:val="center"/>
            <w:hideMark/>
          </w:tcPr>
          <w:p w14:paraId="377AB05E" w14:textId="151E4D97" w:rsidR="004F7691" w:rsidRPr="004F7691" w:rsidRDefault="004F7691" w:rsidP="004F7691">
            <w:pPr>
              <w:jc w:val="left"/>
              <w:rPr>
                <w:rFonts w:asciiTheme="minorHAnsi" w:hAnsiTheme="minorHAnsi" w:cstheme="minorHAnsi"/>
                <w:color w:val="000000" w:themeColor="text1"/>
                <w:szCs w:val="20"/>
              </w:rPr>
            </w:pPr>
            <w:r w:rsidRPr="004F7691">
              <w:rPr>
                <w:color w:val="000000" w:themeColor="text1"/>
                <w:szCs w:val="20"/>
              </w:rPr>
              <w:t>Торговельна та інша кредиторська заборгованість</w:t>
            </w:r>
          </w:p>
        </w:tc>
        <w:tc>
          <w:tcPr>
            <w:tcW w:w="633" w:type="pct"/>
            <w:tcBorders>
              <w:top w:val="nil"/>
              <w:left w:val="nil"/>
              <w:right w:val="nil"/>
            </w:tcBorders>
            <w:vAlign w:val="center"/>
          </w:tcPr>
          <w:p w14:paraId="78CCEA8D" w14:textId="11C3D95E"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944 530 </w:t>
            </w:r>
          </w:p>
        </w:tc>
        <w:tc>
          <w:tcPr>
            <w:tcW w:w="642" w:type="pct"/>
            <w:tcBorders>
              <w:top w:val="nil"/>
              <w:left w:val="nil"/>
              <w:right w:val="nil"/>
            </w:tcBorders>
            <w:vAlign w:val="center"/>
          </w:tcPr>
          <w:p w14:paraId="684F0C58" w14:textId="58BE12A8"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495" w:type="pct"/>
            <w:tcBorders>
              <w:top w:val="nil"/>
              <w:left w:val="nil"/>
            </w:tcBorders>
            <w:vAlign w:val="center"/>
          </w:tcPr>
          <w:p w14:paraId="3B99862D" w14:textId="0CC17D2B" w:rsidR="004F7691" w:rsidRPr="004F7691" w:rsidRDefault="004F7691" w:rsidP="004F7691">
            <w:pPr>
              <w:jc w:val="right"/>
              <w:rPr>
                <w:rFonts w:asciiTheme="minorHAnsi" w:hAnsiTheme="minorHAnsi" w:cstheme="minorHAnsi"/>
                <w:color w:val="000000" w:themeColor="text1"/>
                <w:szCs w:val="20"/>
              </w:rPr>
            </w:pPr>
            <w:r w:rsidRPr="004F7691">
              <w:rPr>
                <w:color w:val="000000" w:themeColor="text1"/>
                <w:szCs w:val="20"/>
              </w:rPr>
              <w:t xml:space="preserve">-  </w:t>
            </w:r>
          </w:p>
        </w:tc>
        <w:tc>
          <w:tcPr>
            <w:tcW w:w="654" w:type="pct"/>
            <w:tcBorders>
              <w:top w:val="nil"/>
              <w:right w:val="nil"/>
            </w:tcBorders>
            <w:vAlign w:val="center"/>
          </w:tcPr>
          <w:p w14:paraId="0BBD5001" w14:textId="1E9E9CFC" w:rsidR="004F7691" w:rsidRPr="004F7691" w:rsidRDefault="004F7691" w:rsidP="004F7691">
            <w:pPr>
              <w:jc w:val="right"/>
              <w:rPr>
                <w:rFonts w:asciiTheme="minorHAnsi" w:hAnsiTheme="minorHAnsi" w:cstheme="minorHAnsi"/>
                <w:b/>
                <w:bCs/>
                <w:color w:val="000000" w:themeColor="text1"/>
                <w:szCs w:val="20"/>
              </w:rPr>
            </w:pPr>
            <w:r w:rsidRPr="004F7691">
              <w:rPr>
                <w:color w:val="000000" w:themeColor="text1"/>
                <w:szCs w:val="20"/>
              </w:rPr>
              <w:t xml:space="preserve">944 530 </w:t>
            </w:r>
          </w:p>
        </w:tc>
      </w:tr>
      <w:tr w:rsidR="004F7691" w:rsidRPr="004F7691" w14:paraId="57EE6175" w14:textId="77777777" w:rsidTr="004F7691">
        <w:trPr>
          <w:cantSplit/>
          <w:trHeight w:val="255"/>
        </w:trPr>
        <w:tc>
          <w:tcPr>
            <w:tcW w:w="2575" w:type="pct"/>
            <w:tcBorders>
              <w:top w:val="single" w:sz="4" w:space="0" w:color="auto"/>
              <w:left w:val="nil"/>
              <w:bottom w:val="nil"/>
              <w:right w:val="nil"/>
            </w:tcBorders>
            <w:vAlign w:val="center"/>
            <w:hideMark/>
          </w:tcPr>
          <w:p w14:paraId="72FAE918" w14:textId="77777777" w:rsidR="004F7691" w:rsidRPr="004F7691" w:rsidRDefault="004F7691" w:rsidP="004F7691">
            <w:pPr>
              <w:pStyle w:val="af7"/>
              <w:spacing w:before="0" w:after="0"/>
              <w:jc w:val="left"/>
              <w:rPr>
                <w:rFonts w:asciiTheme="minorHAnsi" w:hAnsiTheme="minorHAnsi" w:cstheme="minorHAnsi"/>
                <w:b/>
                <w:bCs/>
                <w:iCs/>
                <w:color w:val="000000" w:themeColor="text1"/>
                <w:szCs w:val="20"/>
                <w:lang w:eastAsia="uk-UA"/>
              </w:rPr>
            </w:pPr>
            <w:r w:rsidRPr="004F7691">
              <w:rPr>
                <w:rFonts w:asciiTheme="minorHAnsi" w:hAnsiTheme="minorHAnsi" w:cstheme="minorHAnsi"/>
                <w:b/>
                <w:bCs/>
                <w:iCs/>
                <w:color w:val="000000" w:themeColor="text1"/>
                <w:szCs w:val="20"/>
                <w:lang w:eastAsia="uk-UA"/>
              </w:rPr>
              <w:t>Разом:</w:t>
            </w:r>
          </w:p>
        </w:tc>
        <w:tc>
          <w:tcPr>
            <w:tcW w:w="633" w:type="pct"/>
            <w:tcBorders>
              <w:top w:val="single" w:sz="4" w:space="0" w:color="auto"/>
              <w:left w:val="nil"/>
              <w:bottom w:val="nil"/>
              <w:right w:val="nil"/>
            </w:tcBorders>
            <w:vAlign w:val="center"/>
          </w:tcPr>
          <w:p w14:paraId="1ECD3A07" w14:textId="1E9D9444" w:rsidR="004F7691" w:rsidRPr="004F7691" w:rsidRDefault="004F7691" w:rsidP="004F7691">
            <w:pPr>
              <w:jc w:val="right"/>
              <w:rPr>
                <w:rFonts w:asciiTheme="minorHAnsi" w:hAnsiTheme="minorHAnsi" w:cstheme="minorHAnsi"/>
                <w:b/>
                <w:bCs/>
                <w:color w:val="000000" w:themeColor="text1"/>
                <w:szCs w:val="20"/>
                <w:lang w:val="en-US"/>
              </w:rPr>
            </w:pPr>
            <w:r w:rsidRPr="004F7691">
              <w:rPr>
                <w:b/>
                <w:bCs/>
                <w:color w:val="000000" w:themeColor="text1"/>
                <w:szCs w:val="20"/>
              </w:rPr>
              <w:t xml:space="preserve">1 477 222 </w:t>
            </w:r>
          </w:p>
        </w:tc>
        <w:tc>
          <w:tcPr>
            <w:tcW w:w="642" w:type="pct"/>
            <w:tcBorders>
              <w:top w:val="single" w:sz="4" w:space="0" w:color="auto"/>
              <w:left w:val="nil"/>
              <w:bottom w:val="nil"/>
              <w:right w:val="nil"/>
            </w:tcBorders>
            <w:vAlign w:val="center"/>
          </w:tcPr>
          <w:p w14:paraId="4237DF35" w14:textId="16BFEF79" w:rsidR="004F7691" w:rsidRPr="004F7691" w:rsidRDefault="004F7691" w:rsidP="004F7691">
            <w:pPr>
              <w:jc w:val="right"/>
              <w:rPr>
                <w:rFonts w:asciiTheme="minorHAnsi" w:hAnsiTheme="minorHAnsi" w:cstheme="minorHAnsi"/>
                <w:b/>
                <w:bCs/>
                <w:color w:val="000000" w:themeColor="text1"/>
                <w:szCs w:val="20"/>
              </w:rPr>
            </w:pPr>
            <w:r w:rsidRPr="004F7691">
              <w:rPr>
                <w:b/>
                <w:bCs/>
                <w:color w:val="000000" w:themeColor="text1"/>
                <w:szCs w:val="20"/>
              </w:rPr>
              <w:t xml:space="preserve">-  </w:t>
            </w:r>
          </w:p>
        </w:tc>
        <w:tc>
          <w:tcPr>
            <w:tcW w:w="495" w:type="pct"/>
            <w:tcBorders>
              <w:top w:val="single" w:sz="4" w:space="0" w:color="auto"/>
              <w:left w:val="nil"/>
              <w:bottom w:val="nil"/>
            </w:tcBorders>
            <w:vAlign w:val="center"/>
          </w:tcPr>
          <w:p w14:paraId="747AC4B9" w14:textId="6DAC529C" w:rsidR="004F7691" w:rsidRPr="004F7691" w:rsidRDefault="004F7691" w:rsidP="004F7691">
            <w:pPr>
              <w:jc w:val="right"/>
              <w:rPr>
                <w:rFonts w:asciiTheme="minorHAnsi" w:hAnsiTheme="minorHAnsi" w:cstheme="minorHAnsi"/>
                <w:b/>
                <w:bCs/>
                <w:color w:val="000000" w:themeColor="text1"/>
                <w:szCs w:val="20"/>
              </w:rPr>
            </w:pPr>
            <w:r w:rsidRPr="004F7691">
              <w:rPr>
                <w:b/>
                <w:bCs/>
                <w:color w:val="000000" w:themeColor="text1"/>
                <w:szCs w:val="20"/>
              </w:rPr>
              <w:t xml:space="preserve">-  </w:t>
            </w:r>
          </w:p>
        </w:tc>
        <w:tc>
          <w:tcPr>
            <w:tcW w:w="654" w:type="pct"/>
            <w:tcBorders>
              <w:top w:val="single" w:sz="4" w:space="0" w:color="auto"/>
              <w:bottom w:val="nil"/>
              <w:right w:val="nil"/>
            </w:tcBorders>
            <w:vAlign w:val="center"/>
          </w:tcPr>
          <w:p w14:paraId="24D9F08F" w14:textId="0567A4D3" w:rsidR="004F7691" w:rsidRPr="004F7691" w:rsidRDefault="004F7691" w:rsidP="004F7691">
            <w:pPr>
              <w:jc w:val="right"/>
              <w:rPr>
                <w:rFonts w:asciiTheme="minorHAnsi" w:hAnsiTheme="minorHAnsi" w:cstheme="minorHAnsi"/>
                <w:b/>
                <w:bCs/>
                <w:color w:val="000000" w:themeColor="text1"/>
                <w:szCs w:val="20"/>
                <w:lang w:val="en-US"/>
              </w:rPr>
            </w:pPr>
            <w:r w:rsidRPr="004F7691">
              <w:rPr>
                <w:b/>
                <w:bCs/>
                <w:color w:val="000000" w:themeColor="text1"/>
                <w:szCs w:val="20"/>
              </w:rPr>
              <w:t xml:space="preserve">1 477 222 </w:t>
            </w:r>
          </w:p>
        </w:tc>
      </w:tr>
    </w:tbl>
    <w:p w14:paraId="1E3D60CB" w14:textId="77777777" w:rsidR="00D7008C" w:rsidRPr="00BA35F1" w:rsidRDefault="00D7008C" w:rsidP="003547BB">
      <w:pPr>
        <w:pStyle w:val="af7"/>
        <w:spacing w:before="240"/>
        <w:rPr>
          <w:color w:val="000000" w:themeColor="text1"/>
          <w:szCs w:val="20"/>
          <w:lang w:eastAsia="uk-UA"/>
        </w:rPr>
      </w:pPr>
      <w:r w:rsidRPr="004F7691">
        <w:rPr>
          <w:color w:val="000000" w:themeColor="text1"/>
          <w:szCs w:val="20"/>
          <w:lang w:eastAsia="uk-UA"/>
        </w:rPr>
        <w:t xml:space="preserve">Суми торгівельної та </w:t>
      </w:r>
      <w:r w:rsidRPr="00BA35F1">
        <w:rPr>
          <w:color w:val="000000" w:themeColor="text1"/>
          <w:szCs w:val="20"/>
          <w:lang w:eastAsia="uk-UA"/>
        </w:rPr>
        <w:t>іншої заборгованості, які приведено вище, не включають суми заборгованості з авансів отриманих, заробітної плати та податків.</w:t>
      </w:r>
    </w:p>
    <w:p w14:paraId="33B6FF00" w14:textId="77777777" w:rsidR="00D7008C" w:rsidRPr="00BA35F1" w:rsidRDefault="00D7008C" w:rsidP="00F24CEE">
      <w:pPr>
        <w:pStyle w:val="af7"/>
        <w:rPr>
          <w:color w:val="000000" w:themeColor="text1"/>
          <w:szCs w:val="20"/>
          <w:lang w:eastAsia="uk-UA"/>
        </w:rPr>
      </w:pPr>
      <w:r w:rsidRPr="00BA35F1">
        <w:rPr>
          <w:color w:val="000000" w:themeColor="text1"/>
          <w:szCs w:val="20"/>
          <w:lang w:eastAsia="uk-UA"/>
        </w:rPr>
        <w:t>Відповідно до планів Компанії, вимоги щодо її робочого капіталу виконані як з боку надходження грошових коштів від операційної діяльності, так і з позиції кредитних коштів, коли надходжень від діяльності недостатньо для своєчасного погашення зобов'язань.</w:t>
      </w:r>
    </w:p>
    <w:p w14:paraId="0E615FC5" w14:textId="77777777" w:rsidR="00D7008C" w:rsidRPr="00BA35F1" w:rsidRDefault="00D7008C" w:rsidP="003A7D0C">
      <w:pPr>
        <w:keepNext/>
        <w:numPr>
          <w:ilvl w:val="1"/>
          <w:numId w:val="2"/>
        </w:numPr>
        <w:tabs>
          <w:tab w:val="left" w:pos="284"/>
        </w:tabs>
        <w:suppressAutoHyphens/>
        <w:spacing w:before="240" w:after="120"/>
        <w:ind w:left="0" w:firstLine="0"/>
        <w:rPr>
          <w:rFonts w:asciiTheme="minorHAnsi" w:hAnsiTheme="minorHAnsi" w:cstheme="minorHAnsi"/>
          <w:b/>
          <w:bCs/>
          <w:iCs/>
          <w:color w:val="000000" w:themeColor="text1"/>
          <w:szCs w:val="20"/>
          <w:lang w:eastAsia="uk-UA"/>
        </w:rPr>
      </w:pPr>
      <w:r w:rsidRPr="00BA35F1">
        <w:rPr>
          <w:rFonts w:asciiTheme="minorHAnsi" w:hAnsiTheme="minorHAnsi" w:cstheme="minorHAnsi"/>
          <w:b/>
          <w:bCs/>
          <w:iCs/>
          <w:color w:val="000000" w:themeColor="text1"/>
          <w:szCs w:val="20"/>
          <w:lang w:eastAsia="uk-UA"/>
        </w:rPr>
        <w:t>Валютний ризик</w:t>
      </w:r>
    </w:p>
    <w:p w14:paraId="6444916A" w14:textId="2D558470" w:rsidR="00A760B1" w:rsidRPr="00BA35F1" w:rsidRDefault="00A760B1" w:rsidP="00F24CEE">
      <w:pPr>
        <w:pStyle w:val="af7"/>
        <w:rPr>
          <w:rFonts w:asciiTheme="minorHAnsi" w:hAnsiTheme="minorHAnsi" w:cstheme="minorHAnsi"/>
          <w:color w:val="000000" w:themeColor="text1"/>
        </w:rPr>
      </w:pPr>
      <w:r w:rsidRPr="00BA35F1">
        <w:rPr>
          <w:rFonts w:asciiTheme="minorHAnsi" w:hAnsiTheme="minorHAnsi" w:cstheme="minorHAnsi"/>
          <w:color w:val="000000" w:themeColor="text1"/>
        </w:rPr>
        <w:t xml:space="preserve">Компанія здійснює свою операційну діяльність </w:t>
      </w:r>
      <w:r w:rsidR="00067EC4" w:rsidRPr="00BA35F1">
        <w:rPr>
          <w:rFonts w:asciiTheme="minorHAnsi" w:hAnsiTheme="minorHAnsi" w:cstheme="minorHAnsi"/>
          <w:color w:val="000000" w:themeColor="text1"/>
        </w:rPr>
        <w:t>переважно</w:t>
      </w:r>
      <w:r w:rsidR="004C61DA" w:rsidRPr="00BA35F1">
        <w:rPr>
          <w:rFonts w:asciiTheme="minorHAnsi" w:hAnsiTheme="minorHAnsi" w:cstheme="minorHAnsi"/>
          <w:color w:val="000000" w:themeColor="text1"/>
        </w:rPr>
        <w:t xml:space="preserve"> </w:t>
      </w:r>
      <w:r w:rsidRPr="00BA35F1">
        <w:rPr>
          <w:rFonts w:asciiTheme="minorHAnsi" w:hAnsiTheme="minorHAnsi" w:cstheme="minorHAnsi"/>
          <w:color w:val="000000" w:themeColor="text1"/>
        </w:rPr>
        <w:t>на території України</w:t>
      </w:r>
      <w:r w:rsidR="00067EC4" w:rsidRPr="00BA35F1">
        <w:rPr>
          <w:rFonts w:asciiTheme="minorHAnsi" w:hAnsiTheme="minorHAnsi" w:cstheme="minorHAnsi"/>
          <w:color w:val="000000" w:themeColor="text1"/>
        </w:rPr>
        <w:t xml:space="preserve"> </w:t>
      </w:r>
      <w:r w:rsidRPr="00BA35F1">
        <w:rPr>
          <w:rFonts w:asciiTheme="minorHAnsi" w:hAnsiTheme="minorHAnsi" w:cstheme="minorHAnsi"/>
          <w:color w:val="000000" w:themeColor="text1"/>
        </w:rPr>
        <w:t>і її залежність від валютного ризику визначається, головним чином в отриманні кредитів в іноземній валюті та в розрахунках з іноземними покупцями/постачальниками.</w:t>
      </w:r>
      <w:r w:rsidR="004C61DA" w:rsidRPr="00BA35F1">
        <w:rPr>
          <w:rFonts w:asciiTheme="minorHAnsi" w:hAnsiTheme="minorHAnsi" w:cstheme="minorHAnsi"/>
          <w:color w:val="000000" w:themeColor="text1"/>
        </w:rPr>
        <w:t xml:space="preserve"> Головним чином, Компанія здійснює свою діяльність в таких валютах: українська гривня, Євро, долар США, російський рубль.</w:t>
      </w:r>
    </w:p>
    <w:p w14:paraId="4B845B5A" w14:textId="5BB86334" w:rsidR="000D2F36" w:rsidRPr="00BA35F1" w:rsidRDefault="000D2F36" w:rsidP="00F24CEE">
      <w:pPr>
        <w:pStyle w:val="af7"/>
        <w:rPr>
          <w:rFonts w:asciiTheme="minorHAnsi" w:hAnsiTheme="minorHAnsi" w:cstheme="minorHAnsi"/>
          <w:color w:val="000000" w:themeColor="text1"/>
        </w:rPr>
      </w:pPr>
      <w:r w:rsidRPr="00BA35F1">
        <w:rPr>
          <w:rFonts w:asciiTheme="minorHAnsi" w:hAnsiTheme="minorHAnsi" w:cstheme="minorHAnsi"/>
          <w:color w:val="000000" w:themeColor="text1"/>
        </w:rPr>
        <w:t>Залежність Компанії від валютного ризику представлена на основі балансової вартості відповідних активів та зобов’язань у доларах США та Євро таким чином:</w:t>
      </w:r>
    </w:p>
    <w:p w14:paraId="4BC2A2C6" w14:textId="66249A9E" w:rsidR="004C61DA" w:rsidRPr="00BA35F1" w:rsidRDefault="00AF6B9C" w:rsidP="004C61DA">
      <w:pPr>
        <w:pStyle w:val="af7"/>
        <w:spacing w:before="0" w:after="0"/>
        <w:rPr>
          <w:rFonts w:asciiTheme="minorHAnsi" w:hAnsiTheme="minorHAnsi" w:cstheme="minorHAnsi"/>
          <w:color w:val="000000" w:themeColor="text1"/>
        </w:rPr>
      </w:pPr>
      <w:r w:rsidRPr="00BA35F1">
        <w:rPr>
          <w:rFonts w:asciiTheme="minorHAnsi" w:hAnsiTheme="minorHAnsi" w:cstheme="minorHAnsi"/>
          <w:color w:val="000000" w:themeColor="text1"/>
        </w:rPr>
        <w:t>У відношенні валютного ризику керівництво встановлює ліміти на рівень схильності ризику в розрізі валют і в цілому. Здійснюється постійний контроль над позиціями.</w:t>
      </w:r>
    </w:p>
    <w:tbl>
      <w:tblPr>
        <w:tblW w:w="5000" w:type="pct"/>
        <w:tblLook w:val="04A0" w:firstRow="1" w:lastRow="0" w:firstColumn="1" w:lastColumn="0" w:noHBand="0" w:noVBand="1"/>
      </w:tblPr>
      <w:tblGrid>
        <w:gridCol w:w="4678"/>
        <w:gridCol w:w="1276"/>
        <w:gridCol w:w="1276"/>
        <w:gridCol w:w="1135"/>
        <w:gridCol w:w="1272"/>
      </w:tblGrid>
      <w:tr w:rsidR="00A22CC4" w:rsidRPr="008756CD" w14:paraId="796376E5" w14:textId="77777777" w:rsidTr="00AF6B9C">
        <w:trPr>
          <w:cantSplit/>
          <w:tblHeader/>
        </w:trPr>
        <w:tc>
          <w:tcPr>
            <w:tcW w:w="2427" w:type="pct"/>
            <w:tcBorders>
              <w:top w:val="nil"/>
              <w:left w:val="nil"/>
              <w:bottom w:val="single" w:sz="4" w:space="0" w:color="auto"/>
              <w:right w:val="nil"/>
            </w:tcBorders>
            <w:vAlign w:val="center"/>
            <w:hideMark/>
          </w:tcPr>
          <w:p w14:paraId="359CC113" w14:textId="0C772225" w:rsidR="000D2F36" w:rsidRPr="000E6FA8" w:rsidRDefault="000D2F36" w:rsidP="00AF6B9C">
            <w:pPr>
              <w:jc w:val="lef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2</w:t>
            </w:r>
            <w:r w:rsidR="00AF6B9C" w:rsidRPr="000E6FA8">
              <w:rPr>
                <w:rFonts w:asciiTheme="minorHAnsi" w:hAnsiTheme="minorHAnsi" w:cstheme="minorHAnsi"/>
                <w:b/>
                <w:bCs/>
                <w:color w:val="000000" w:themeColor="text1"/>
                <w:szCs w:val="20"/>
              </w:rPr>
              <w:t>7</w:t>
            </w:r>
            <w:r w:rsidRPr="000E6FA8">
              <w:rPr>
                <w:rFonts w:asciiTheme="minorHAnsi" w:hAnsiTheme="minorHAnsi" w:cstheme="minorHAnsi"/>
                <w:b/>
                <w:bCs/>
                <w:color w:val="000000" w:themeColor="text1"/>
                <w:szCs w:val="20"/>
              </w:rPr>
              <w:t>.8 Активи та зобов'язання за балансовою вартістю</w:t>
            </w:r>
          </w:p>
        </w:tc>
        <w:tc>
          <w:tcPr>
            <w:tcW w:w="662" w:type="pct"/>
            <w:tcBorders>
              <w:top w:val="nil"/>
              <w:left w:val="nil"/>
              <w:bottom w:val="single" w:sz="4" w:space="0" w:color="auto"/>
              <w:right w:val="nil"/>
            </w:tcBorders>
            <w:vAlign w:val="center"/>
            <w:hideMark/>
          </w:tcPr>
          <w:p w14:paraId="1638596E" w14:textId="0C072708"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b/>
                <w:bCs/>
                <w:color w:val="000000" w:themeColor="text1"/>
                <w:szCs w:val="20"/>
              </w:rPr>
              <w:t>Гривня (UAH)</w:t>
            </w:r>
          </w:p>
        </w:tc>
        <w:tc>
          <w:tcPr>
            <w:tcW w:w="662" w:type="pct"/>
            <w:tcBorders>
              <w:top w:val="nil"/>
              <w:left w:val="nil"/>
              <w:bottom w:val="single" w:sz="4" w:space="0" w:color="auto"/>
              <w:right w:val="nil"/>
            </w:tcBorders>
            <w:vAlign w:val="center"/>
            <w:hideMark/>
          </w:tcPr>
          <w:p w14:paraId="3F311101" w14:textId="53369121" w:rsidR="000D2F36" w:rsidRPr="000E6FA8" w:rsidRDefault="004A7ED7" w:rsidP="000D2F36">
            <w:pPr>
              <w:suppressAutoHyphens/>
              <w:ind w:right="11"/>
              <w:jc w:val="right"/>
              <w:rPr>
                <w:rFonts w:asciiTheme="minorHAnsi" w:hAnsiTheme="minorHAnsi" w:cstheme="minorHAnsi"/>
                <w:b/>
                <w:bCs/>
                <w:iCs/>
                <w:color w:val="000000" w:themeColor="text1"/>
                <w:szCs w:val="20"/>
                <w:lang w:eastAsia="uk-UA"/>
              </w:rPr>
            </w:pPr>
            <w:r>
              <w:rPr>
                <w:rFonts w:asciiTheme="minorHAnsi" w:hAnsiTheme="minorHAnsi" w:cstheme="minorHAnsi"/>
                <w:b/>
                <w:bCs/>
                <w:color w:val="000000" w:themeColor="text1"/>
                <w:szCs w:val="20"/>
              </w:rPr>
              <w:t>Дол</w:t>
            </w:r>
            <w:r w:rsidR="000D2F36" w:rsidRPr="000E6FA8">
              <w:rPr>
                <w:rFonts w:asciiTheme="minorHAnsi" w:hAnsiTheme="minorHAnsi" w:cstheme="minorHAnsi"/>
                <w:b/>
                <w:bCs/>
                <w:color w:val="000000" w:themeColor="text1"/>
                <w:szCs w:val="20"/>
              </w:rPr>
              <w:t>ар США (USD)</w:t>
            </w:r>
          </w:p>
        </w:tc>
        <w:tc>
          <w:tcPr>
            <w:tcW w:w="589" w:type="pct"/>
            <w:tcBorders>
              <w:top w:val="nil"/>
              <w:left w:val="nil"/>
              <w:bottom w:val="single" w:sz="4" w:space="0" w:color="auto"/>
            </w:tcBorders>
            <w:vAlign w:val="center"/>
            <w:hideMark/>
          </w:tcPr>
          <w:p w14:paraId="58661DFE" w14:textId="75FEBC81"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b/>
                <w:bCs/>
                <w:color w:val="000000" w:themeColor="text1"/>
                <w:szCs w:val="20"/>
              </w:rPr>
              <w:t>Євро (EUR)</w:t>
            </w:r>
          </w:p>
        </w:tc>
        <w:tc>
          <w:tcPr>
            <w:tcW w:w="660" w:type="pct"/>
            <w:tcBorders>
              <w:top w:val="nil"/>
              <w:bottom w:val="single" w:sz="4" w:space="0" w:color="auto"/>
              <w:right w:val="nil"/>
            </w:tcBorders>
            <w:vAlign w:val="center"/>
          </w:tcPr>
          <w:p w14:paraId="60996FD0" w14:textId="38A7C40D"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b/>
                <w:bCs/>
                <w:color w:val="000000" w:themeColor="text1"/>
                <w:szCs w:val="20"/>
              </w:rPr>
              <w:t>Разом</w:t>
            </w:r>
          </w:p>
        </w:tc>
      </w:tr>
      <w:tr w:rsidR="00A22CC4" w:rsidRPr="008756CD" w14:paraId="54300FBC" w14:textId="77777777" w:rsidTr="00AF6B9C">
        <w:trPr>
          <w:cantSplit/>
          <w:tblHeader/>
        </w:trPr>
        <w:tc>
          <w:tcPr>
            <w:tcW w:w="2427" w:type="pct"/>
            <w:tcBorders>
              <w:top w:val="single" w:sz="4" w:space="0" w:color="auto"/>
              <w:left w:val="nil"/>
              <w:bottom w:val="single" w:sz="4" w:space="0" w:color="auto"/>
              <w:right w:val="nil"/>
            </w:tcBorders>
            <w:vAlign w:val="center"/>
          </w:tcPr>
          <w:p w14:paraId="425BB2F3" w14:textId="5E66025A" w:rsidR="000D2F36" w:rsidRPr="000E6FA8" w:rsidRDefault="000D2F36" w:rsidP="000D2F36">
            <w:pPr>
              <w:jc w:val="lef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Станом на 31.12.20</w:t>
            </w:r>
            <w:r w:rsidR="000E6FA8" w:rsidRPr="000E6FA8">
              <w:rPr>
                <w:rFonts w:asciiTheme="minorHAnsi" w:hAnsiTheme="minorHAnsi" w:cstheme="minorHAnsi"/>
                <w:b/>
                <w:bCs/>
                <w:color w:val="000000" w:themeColor="text1"/>
                <w:szCs w:val="20"/>
              </w:rPr>
              <w:t>20</w:t>
            </w:r>
          </w:p>
        </w:tc>
        <w:tc>
          <w:tcPr>
            <w:tcW w:w="662" w:type="pct"/>
            <w:tcBorders>
              <w:top w:val="single" w:sz="4" w:space="0" w:color="auto"/>
              <w:left w:val="nil"/>
              <w:bottom w:val="single" w:sz="4" w:space="0" w:color="auto"/>
              <w:right w:val="nil"/>
            </w:tcBorders>
            <w:vAlign w:val="center"/>
          </w:tcPr>
          <w:p w14:paraId="52ECE2A7" w14:textId="2BD54B40"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color w:val="000000" w:themeColor="text1"/>
                <w:szCs w:val="20"/>
              </w:rPr>
              <w:t> </w:t>
            </w:r>
          </w:p>
        </w:tc>
        <w:tc>
          <w:tcPr>
            <w:tcW w:w="662" w:type="pct"/>
            <w:tcBorders>
              <w:top w:val="single" w:sz="4" w:space="0" w:color="auto"/>
              <w:left w:val="nil"/>
              <w:bottom w:val="single" w:sz="4" w:space="0" w:color="auto"/>
              <w:right w:val="nil"/>
            </w:tcBorders>
            <w:vAlign w:val="center"/>
          </w:tcPr>
          <w:p w14:paraId="64BFFA5B" w14:textId="30B4B290"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color w:val="000000" w:themeColor="text1"/>
                <w:szCs w:val="20"/>
              </w:rPr>
              <w:t> </w:t>
            </w:r>
          </w:p>
        </w:tc>
        <w:tc>
          <w:tcPr>
            <w:tcW w:w="589" w:type="pct"/>
            <w:tcBorders>
              <w:top w:val="single" w:sz="4" w:space="0" w:color="auto"/>
              <w:left w:val="nil"/>
              <w:bottom w:val="single" w:sz="4" w:space="0" w:color="auto"/>
            </w:tcBorders>
            <w:vAlign w:val="center"/>
          </w:tcPr>
          <w:p w14:paraId="33F45F28" w14:textId="1F330FC3"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color w:val="000000" w:themeColor="text1"/>
                <w:szCs w:val="20"/>
              </w:rPr>
              <w:t> </w:t>
            </w:r>
          </w:p>
        </w:tc>
        <w:tc>
          <w:tcPr>
            <w:tcW w:w="660" w:type="pct"/>
            <w:tcBorders>
              <w:top w:val="single" w:sz="4" w:space="0" w:color="auto"/>
              <w:bottom w:val="single" w:sz="4" w:space="0" w:color="auto"/>
              <w:right w:val="nil"/>
            </w:tcBorders>
            <w:vAlign w:val="center"/>
          </w:tcPr>
          <w:p w14:paraId="40F3632A" w14:textId="04F07054"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r w:rsidRPr="000E6FA8">
              <w:rPr>
                <w:rFonts w:asciiTheme="minorHAnsi" w:hAnsiTheme="minorHAnsi" w:cstheme="minorHAnsi"/>
                <w:color w:val="000000" w:themeColor="text1"/>
                <w:szCs w:val="20"/>
              </w:rPr>
              <w:t> </w:t>
            </w:r>
          </w:p>
        </w:tc>
      </w:tr>
      <w:tr w:rsidR="00AF6B9C" w:rsidRPr="008756CD" w14:paraId="26633562" w14:textId="77777777" w:rsidTr="00AF6B9C">
        <w:trPr>
          <w:cantSplit/>
          <w:tblHeader/>
        </w:trPr>
        <w:tc>
          <w:tcPr>
            <w:tcW w:w="2427" w:type="pct"/>
            <w:tcBorders>
              <w:top w:val="single" w:sz="4" w:space="0" w:color="auto"/>
              <w:left w:val="nil"/>
              <w:right w:val="nil"/>
            </w:tcBorders>
            <w:vAlign w:val="center"/>
          </w:tcPr>
          <w:p w14:paraId="0B3EFE94" w14:textId="1711FABE" w:rsidR="00AF6B9C" w:rsidRPr="000E6FA8" w:rsidRDefault="00AF6B9C" w:rsidP="00AF6B9C">
            <w:pPr>
              <w:jc w:val="left"/>
              <w:rPr>
                <w:rFonts w:asciiTheme="minorHAnsi" w:hAnsiTheme="minorHAnsi" w:cstheme="minorHAnsi"/>
                <w:b/>
                <w:bCs/>
                <w:color w:val="000000" w:themeColor="text1"/>
                <w:szCs w:val="20"/>
              </w:rPr>
            </w:pPr>
            <w:r w:rsidRPr="000E6FA8">
              <w:rPr>
                <w:rFonts w:asciiTheme="minorHAnsi" w:hAnsiTheme="minorHAnsi" w:cstheme="minorHAnsi"/>
                <w:color w:val="000000" w:themeColor="text1"/>
                <w:szCs w:val="20"/>
              </w:rPr>
              <w:t>Грошові кошти та їх еквіваленти</w:t>
            </w:r>
          </w:p>
        </w:tc>
        <w:tc>
          <w:tcPr>
            <w:tcW w:w="662" w:type="pct"/>
            <w:tcBorders>
              <w:top w:val="single" w:sz="4" w:space="0" w:color="auto"/>
              <w:left w:val="nil"/>
              <w:right w:val="nil"/>
            </w:tcBorders>
            <w:vAlign w:val="center"/>
          </w:tcPr>
          <w:p w14:paraId="0AB91B7B" w14:textId="7696B0E0"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color w:val="000000" w:themeColor="text1"/>
                <w:szCs w:val="20"/>
              </w:rPr>
              <w:t>10 824</w:t>
            </w:r>
            <w:r w:rsidR="00AF6B9C" w:rsidRPr="000E6FA8">
              <w:rPr>
                <w:color w:val="000000" w:themeColor="text1"/>
                <w:szCs w:val="20"/>
              </w:rPr>
              <w:t xml:space="preserve"> </w:t>
            </w:r>
          </w:p>
        </w:tc>
        <w:tc>
          <w:tcPr>
            <w:tcW w:w="662" w:type="pct"/>
            <w:tcBorders>
              <w:top w:val="single" w:sz="4" w:space="0" w:color="auto"/>
              <w:left w:val="nil"/>
              <w:right w:val="nil"/>
            </w:tcBorders>
            <w:vAlign w:val="center"/>
          </w:tcPr>
          <w:p w14:paraId="7A5FFB7F" w14:textId="55E4E858" w:rsidR="00AF6B9C" w:rsidRPr="000E6FA8" w:rsidRDefault="00AF6B9C" w:rsidP="000E6FA8">
            <w:pPr>
              <w:suppressAutoHyphens/>
              <w:ind w:right="11"/>
              <w:jc w:val="right"/>
              <w:rPr>
                <w:rFonts w:asciiTheme="minorHAnsi" w:hAnsiTheme="minorHAnsi" w:cstheme="minorHAnsi"/>
                <w:b/>
                <w:bCs/>
                <w:iCs/>
                <w:color w:val="000000" w:themeColor="text1"/>
                <w:szCs w:val="20"/>
                <w:lang w:eastAsia="uk-UA"/>
              </w:rPr>
            </w:pPr>
            <w:r w:rsidRPr="000E6FA8">
              <w:rPr>
                <w:color w:val="000000" w:themeColor="text1"/>
                <w:szCs w:val="20"/>
              </w:rPr>
              <w:t>1 10</w:t>
            </w:r>
            <w:r w:rsidR="000E6FA8" w:rsidRPr="000E6FA8">
              <w:rPr>
                <w:color w:val="000000" w:themeColor="text1"/>
                <w:szCs w:val="20"/>
              </w:rPr>
              <w:t>8</w:t>
            </w:r>
            <w:r w:rsidRPr="000E6FA8">
              <w:rPr>
                <w:color w:val="000000" w:themeColor="text1"/>
                <w:szCs w:val="20"/>
              </w:rPr>
              <w:t xml:space="preserve"> </w:t>
            </w:r>
          </w:p>
        </w:tc>
        <w:tc>
          <w:tcPr>
            <w:tcW w:w="589" w:type="pct"/>
            <w:tcBorders>
              <w:top w:val="single" w:sz="4" w:space="0" w:color="auto"/>
              <w:left w:val="nil"/>
            </w:tcBorders>
            <w:vAlign w:val="center"/>
          </w:tcPr>
          <w:p w14:paraId="4F4031B8" w14:textId="7F6821A7" w:rsidR="00AF6B9C" w:rsidRPr="000E6FA8" w:rsidRDefault="000E6FA8" w:rsidP="000E6FA8">
            <w:pPr>
              <w:suppressAutoHyphens/>
              <w:ind w:right="11"/>
              <w:jc w:val="right"/>
              <w:rPr>
                <w:rFonts w:asciiTheme="minorHAnsi" w:hAnsiTheme="minorHAnsi" w:cstheme="minorHAnsi"/>
                <w:b/>
                <w:bCs/>
                <w:iCs/>
                <w:color w:val="000000" w:themeColor="text1"/>
                <w:szCs w:val="20"/>
                <w:lang w:eastAsia="uk-UA"/>
              </w:rPr>
            </w:pPr>
            <w:r w:rsidRPr="000E6FA8">
              <w:rPr>
                <w:color w:val="000000" w:themeColor="text1"/>
                <w:szCs w:val="20"/>
              </w:rPr>
              <w:t>28</w:t>
            </w:r>
            <w:r w:rsidR="00AF6B9C" w:rsidRPr="000E6FA8">
              <w:rPr>
                <w:color w:val="000000" w:themeColor="text1"/>
                <w:szCs w:val="20"/>
              </w:rPr>
              <w:t xml:space="preserve"> </w:t>
            </w:r>
          </w:p>
        </w:tc>
        <w:tc>
          <w:tcPr>
            <w:tcW w:w="660" w:type="pct"/>
            <w:tcBorders>
              <w:top w:val="single" w:sz="4" w:space="0" w:color="auto"/>
              <w:right w:val="nil"/>
            </w:tcBorders>
            <w:vAlign w:val="center"/>
          </w:tcPr>
          <w:p w14:paraId="6CC03FF9" w14:textId="21998614" w:rsidR="00AF6B9C" w:rsidRPr="000E6FA8" w:rsidRDefault="00AF6B9C" w:rsidP="000E6FA8">
            <w:pPr>
              <w:suppressAutoHyphens/>
              <w:ind w:right="11"/>
              <w:jc w:val="right"/>
              <w:rPr>
                <w:rFonts w:asciiTheme="minorHAnsi" w:hAnsiTheme="minorHAnsi" w:cstheme="minorHAnsi"/>
                <w:b/>
                <w:bCs/>
                <w:iCs/>
                <w:color w:val="000000" w:themeColor="text1"/>
                <w:szCs w:val="20"/>
                <w:lang w:eastAsia="uk-UA"/>
              </w:rPr>
            </w:pPr>
            <w:r w:rsidRPr="000E6FA8">
              <w:rPr>
                <w:b/>
                <w:bCs/>
                <w:color w:val="000000" w:themeColor="text1"/>
                <w:szCs w:val="20"/>
              </w:rPr>
              <w:t xml:space="preserve">11 </w:t>
            </w:r>
            <w:r w:rsidR="000E6FA8" w:rsidRPr="000E6FA8">
              <w:rPr>
                <w:b/>
                <w:bCs/>
                <w:color w:val="000000" w:themeColor="text1"/>
                <w:szCs w:val="20"/>
              </w:rPr>
              <w:t>960</w:t>
            </w:r>
            <w:r w:rsidRPr="000E6FA8">
              <w:rPr>
                <w:b/>
                <w:bCs/>
                <w:color w:val="000000" w:themeColor="text1"/>
                <w:szCs w:val="20"/>
              </w:rPr>
              <w:t xml:space="preserve"> </w:t>
            </w:r>
          </w:p>
        </w:tc>
      </w:tr>
      <w:tr w:rsidR="00AF6B9C" w:rsidRPr="008756CD" w14:paraId="6152177D" w14:textId="77777777" w:rsidTr="00AF6B9C">
        <w:trPr>
          <w:cantSplit/>
          <w:tblHeader/>
        </w:trPr>
        <w:tc>
          <w:tcPr>
            <w:tcW w:w="2427" w:type="pct"/>
            <w:tcBorders>
              <w:top w:val="nil"/>
              <w:left w:val="nil"/>
              <w:bottom w:val="single" w:sz="4" w:space="0" w:color="auto"/>
              <w:right w:val="nil"/>
            </w:tcBorders>
            <w:vAlign w:val="center"/>
          </w:tcPr>
          <w:p w14:paraId="0C224E7D" w14:textId="2939A139" w:rsidR="00AF6B9C" w:rsidRPr="000E6FA8" w:rsidRDefault="00AF6B9C" w:rsidP="00AF6B9C">
            <w:pPr>
              <w:jc w:val="left"/>
              <w:rPr>
                <w:rFonts w:asciiTheme="minorHAnsi" w:hAnsiTheme="minorHAnsi" w:cstheme="minorHAnsi"/>
                <w:b/>
                <w:bCs/>
                <w:color w:val="000000" w:themeColor="text1"/>
                <w:szCs w:val="20"/>
              </w:rPr>
            </w:pPr>
            <w:r w:rsidRPr="000E6FA8">
              <w:rPr>
                <w:rFonts w:asciiTheme="minorHAnsi" w:hAnsiTheme="minorHAnsi" w:cstheme="minorHAnsi"/>
                <w:color w:val="000000" w:themeColor="text1"/>
                <w:szCs w:val="20"/>
              </w:rPr>
              <w:t>Торгівельна дебіторська заборгованість</w:t>
            </w:r>
          </w:p>
        </w:tc>
        <w:tc>
          <w:tcPr>
            <w:tcW w:w="662" w:type="pct"/>
            <w:tcBorders>
              <w:top w:val="nil"/>
              <w:left w:val="nil"/>
              <w:bottom w:val="single" w:sz="4" w:space="0" w:color="auto"/>
              <w:right w:val="nil"/>
            </w:tcBorders>
            <w:vAlign w:val="center"/>
          </w:tcPr>
          <w:p w14:paraId="1B29BD78" w14:textId="69C01520"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color w:val="000000" w:themeColor="text1"/>
                <w:szCs w:val="20"/>
              </w:rPr>
              <w:t>1 445 144</w:t>
            </w:r>
            <w:r w:rsidR="00AF6B9C" w:rsidRPr="000E6FA8">
              <w:rPr>
                <w:color w:val="000000" w:themeColor="text1"/>
                <w:szCs w:val="20"/>
              </w:rPr>
              <w:t xml:space="preserve"> </w:t>
            </w:r>
          </w:p>
        </w:tc>
        <w:tc>
          <w:tcPr>
            <w:tcW w:w="662" w:type="pct"/>
            <w:tcBorders>
              <w:top w:val="nil"/>
              <w:left w:val="nil"/>
              <w:bottom w:val="single" w:sz="4" w:space="0" w:color="auto"/>
              <w:right w:val="nil"/>
            </w:tcBorders>
            <w:vAlign w:val="center"/>
          </w:tcPr>
          <w:p w14:paraId="2B5676F1" w14:textId="4B545556"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color w:val="000000" w:themeColor="text1"/>
                <w:szCs w:val="20"/>
              </w:rPr>
              <w:t>8 926</w:t>
            </w:r>
            <w:r w:rsidR="00AF6B9C" w:rsidRPr="000E6FA8">
              <w:rPr>
                <w:color w:val="000000" w:themeColor="text1"/>
                <w:szCs w:val="20"/>
              </w:rPr>
              <w:t xml:space="preserve"> </w:t>
            </w:r>
          </w:p>
        </w:tc>
        <w:tc>
          <w:tcPr>
            <w:tcW w:w="589" w:type="pct"/>
            <w:tcBorders>
              <w:top w:val="nil"/>
              <w:left w:val="nil"/>
              <w:bottom w:val="single" w:sz="4" w:space="0" w:color="auto"/>
            </w:tcBorders>
            <w:vAlign w:val="center"/>
          </w:tcPr>
          <w:p w14:paraId="2F1DC6EE" w14:textId="34715F55"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color w:val="000000" w:themeColor="text1"/>
                <w:szCs w:val="20"/>
              </w:rPr>
              <w:t>-</w:t>
            </w:r>
            <w:r w:rsidR="00AF6B9C" w:rsidRPr="000E6FA8">
              <w:rPr>
                <w:color w:val="000000" w:themeColor="text1"/>
                <w:szCs w:val="20"/>
              </w:rPr>
              <w:t xml:space="preserve"> </w:t>
            </w:r>
          </w:p>
        </w:tc>
        <w:tc>
          <w:tcPr>
            <w:tcW w:w="660" w:type="pct"/>
            <w:tcBorders>
              <w:top w:val="nil"/>
              <w:bottom w:val="single" w:sz="4" w:space="0" w:color="auto"/>
              <w:right w:val="nil"/>
            </w:tcBorders>
            <w:vAlign w:val="center"/>
          </w:tcPr>
          <w:p w14:paraId="246567F6" w14:textId="56FEC61C"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b/>
                <w:bCs/>
                <w:color w:val="000000" w:themeColor="text1"/>
                <w:szCs w:val="20"/>
              </w:rPr>
              <w:t>1 454 070</w:t>
            </w:r>
            <w:r w:rsidR="00AF6B9C" w:rsidRPr="000E6FA8">
              <w:rPr>
                <w:b/>
                <w:bCs/>
                <w:color w:val="000000" w:themeColor="text1"/>
                <w:szCs w:val="20"/>
              </w:rPr>
              <w:t xml:space="preserve"> </w:t>
            </w:r>
          </w:p>
        </w:tc>
      </w:tr>
      <w:tr w:rsidR="00AF6B9C" w:rsidRPr="008756CD" w14:paraId="2DD45772" w14:textId="77777777" w:rsidTr="00AF6B9C">
        <w:trPr>
          <w:cantSplit/>
          <w:tblHeader/>
        </w:trPr>
        <w:tc>
          <w:tcPr>
            <w:tcW w:w="2427" w:type="pct"/>
            <w:tcBorders>
              <w:top w:val="single" w:sz="4" w:space="0" w:color="auto"/>
              <w:left w:val="nil"/>
              <w:right w:val="nil"/>
            </w:tcBorders>
            <w:vAlign w:val="center"/>
          </w:tcPr>
          <w:p w14:paraId="2C9FD1E0" w14:textId="3346D29B" w:rsidR="00AF6B9C" w:rsidRPr="000E6FA8" w:rsidRDefault="00AF6B9C" w:rsidP="00AF6B9C">
            <w:pPr>
              <w:jc w:val="lef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Разом активів</w:t>
            </w:r>
          </w:p>
        </w:tc>
        <w:tc>
          <w:tcPr>
            <w:tcW w:w="662" w:type="pct"/>
            <w:tcBorders>
              <w:top w:val="single" w:sz="4" w:space="0" w:color="auto"/>
              <w:left w:val="nil"/>
              <w:right w:val="nil"/>
            </w:tcBorders>
            <w:vAlign w:val="center"/>
          </w:tcPr>
          <w:p w14:paraId="0A434A95" w14:textId="71D51DA5" w:rsidR="00AF6B9C" w:rsidRPr="000E6FA8" w:rsidRDefault="00AF6B9C" w:rsidP="000E6FA8">
            <w:pPr>
              <w:suppressAutoHyphens/>
              <w:ind w:right="11"/>
              <w:jc w:val="right"/>
              <w:rPr>
                <w:rFonts w:asciiTheme="minorHAnsi" w:hAnsiTheme="minorHAnsi" w:cstheme="minorHAnsi"/>
                <w:b/>
                <w:bCs/>
                <w:iCs/>
                <w:color w:val="000000" w:themeColor="text1"/>
                <w:szCs w:val="20"/>
                <w:lang w:eastAsia="uk-UA"/>
              </w:rPr>
            </w:pPr>
            <w:r w:rsidRPr="000E6FA8">
              <w:rPr>
                <w:b/>
                <w:bCs/>
                <w:color w:val="000000" w:themeColor="text1"/>
                <w:szCs w:val="20"/>
              </w:rPr>
              <w:t>1</w:t>
            </w:r>
            <w:r w:rsidR="000E6FA8" w:rsidRPr="000E6FA8">
              <w:rPr>
                <w:b/>
                <w:bCs/>
                <w:color w:val="000000" w:themeColor="text1"/>
                <w:szCs w:val="20"/>
              </w:rPr>
              <w:t> 455 968</w:t>
            </w:r>
            <w:r w:rsidRPr="000E6FA8">
              <w:rPr>
                <w:b/>
                <w:bCs/>
                <w:color w:val="000000" w:themeColor="text1"/>
                <w:szCs w:val="20"/>
              </w:rPr>
              <w:t xml:space="preserve"> </w:t>
            </w:r>
          </w:p>
        </w:tc>
        <w:tc>
          <w:tcPr>
            <w:tcW w:w="662" w:type="pct"/>
            <w:tcBorders>
              <w:top w:val="single" w:sz="4" w:space="0" w:color="auto"/>
              <w:left w:val="nil"/>
              <w:right w:val="nil"/>
            </w:tcBorders>
            <w:vAlign w:val="center"/>
          </w:tcPr>
          <w:p w14:paraId="5290DF30" w14:textId="46F4E42D"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b/>
                <w:bCs/>
                <w:color w:val="000000" w:themeColor="text1"/>
                <w:szCs w:val="20"/>
              </w:rPr>
              <w:t>10 034</w:t>
            </w:r>
            <w:r w:rsidR="00AF6B9C" w:rsidRPr="000E6FA8">
              <w:rPr>
                <w:b/>
                <w:bCs/>
                <w:color w:val="000000" w:themeColor="text1"/>
                <w:szCs w:val="20"/>
              </w:rPr>
              <w:t xml:space="preserve"> </w:t>
            </w:r>
          </w:p>
        </w:tc>
        <w:tc>
          <w:tcPr>
            <w:tcW w:w="589" w:type="pct"/>
            <w:tcBorders>
              <w:top w:val="single" w:sz="4" w:space="0" w:color="auto"/>
              <w:left w:val="nil"/>
            </w:tcBorders>
            <w:vAlign w:val="center"/>
          </w:tcPr>
          <w:p w14:paraId="1ACF22F6" w14:textId="11F6A230"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b/>
                <w:bCs/>
                <w:color w:val="000000" w:themeColor="text1"/>
                <w:szCs w:val="20"/>
              </w:rPr>
              <w:t>28</w:t>
            </w:r>
            <w:r w:rsidR="00AF6B9C" w:rsidRPr="000E6FA8">
              <w:rPr>
                <w:b/>
                <w:bCs/>
                <w:color w:val="000000" w:themeColor="text1"/>
                <w:szCs w:val="20"/>
              </w:rPr>
              <w:t xml:space="preserve"> </w:t>
            </w:r>
          </w:p>
        </w:tc>
        <w:tc>
          <w:tcPr>
            <w:tcW w:w="660" w:type="pct"/>
            <w:tcBorders>
              <w:top w:val="single" w:sz="4" w:space="0" w:color="auto"/>
              <w:right w:val="nil"/>
            </w:tcBorders>
            <w:vAlign w:val="center"/>
          </w:tcPr>
          <w:p w14:paraId="177CE7C6" w14:textId="77C759A7" w:rsidR="00AF6B9C" w:rsidRPr="000E6FA8" w:rsidRDefault="000E6FA8" w:rsidP="00AF6B9C">
            <w:pPr>
              <w:suppressAutoHyphens/>
              <w:ind w:right="11"/>
              <w:jc w:val="right"/>
              <w:rPr>
                <w:rFonts w:asciiTheme="minorHAnsi" w:hAnsiTheme="minorHAnsi" w:cstheme="minorHAnsi"/>
                <w:b/>
                <w:bCs/>
                <w:iCs/>
                <w:color w:val="000000" w:themeColor="text1"/>
                <w:szCs w:val="20"/>
                <w:lang w:eastAsia="uk-UA"/>
              </w:rPr>
            </w:pPr>
            <w:r w:rsidRPr="000E6FA8">
              <w:rPr>
                <w:b/>
                <w:bCs/>
                <w:color w:val="000000" w:themeColor="text1"/>
                <w:szCs w:val="20"/>
              </w:rPr>
              <w:t>1 466 030</w:t>
            </w:r>
            <w:r w:rsidR="00AF6B9C" w:rsidRPr="000E6FA8">
              <w:rPr>
                <w:b/>
                <w:bCs/>
                <w:color w:val="000000" w:themeColor="text1"/>
                <w:szCs w:val="20"/>
              </w:rPr>
              <w:t xml:space="preserve"> </w:t>
            </w:r>
          </w:p>
        </w:tc>
      </w:tr>
      <w:tr w:rsidR="00A22CC4" w:rsidRPr="008756CD" w14:paraId="3C24E5E4" w14:textId="77777777" w:rsidTr="00AF6B9C">
        <w:trPr>
          <w:cantSplit/>
          <w:trHeight w:val="57"/>
          <w:tblHeader/>
        </w:trPr>
        <w:tc>
          <w:tcPr>
            <w:tcW w:w="2427" w:type="pct"/>
            <w:tcBorders>
              <w:top w:val="nil"/>
              <w:left w:val="nil"/>
              <w:right w:val="nil"/>
            </w:tcBorders>
            <w:vAlign w:val="center"/>
          </w:tcPr>
          <w:p w14:paraId="62592E04" w14:textId="566D3269" w:rsidR="000D2F36" w:rsidRPr="000E6FA8" w:rsidRDefault="000D2F36" w:rsidP="000D2F36">
            <w:pPr>
              <w:jc w:val="left"/>
              <w:rPr>
                <w:rFonts w:asciiTheme="minorHAnsi" w:hAnsiTheme="minorHAnsi" w:cstheme="minorHAnsi"/>
                <w:b/>
                <w:bCs/>
                <w:color w:val="000000" w:themeColor="text1"/>
                <w:szCs w:val="20"/>
              </w:rPr>
            </w:pPr>
          </w:p>
        </w:tc>
        <w:tc>
          <w:tcPr>
            <w:tcW w:w="662" w:type="pct"/>
            <w:tcBorders>
              <w:top w:val="nil"/>
              <w:left w:val="nil"/>
              <w:right w:val="nil"/>
            </w:tcBorders>
            <w:vAlign w:val="center"/>
          </w:tcPr>
          <w:p w14:paraId="12473FA0" w14:textId="4027EAF3"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p>
        </w:tc>
        <w:tc>
          <w:tcPr>
            <w:tcW w:w="662" w:type="pct"/>
            <w:tcBorders>
              <w:top w:val="nil"/>
              <w:left w:val="nil"/>
              <w:right w:val="nil"/>
            </w:tcBorders>
            <w:vAlign w:val="center"/>
          </w:tcPr>
          <w:p w14:paraId="52608D61" w14:textId="570D9C09"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p>
        </w:tc>
        <w:tc>
          <w:tcPr>
            <w:tcW w:w="589" w:type="pct"/>
            <w:tcBorders>
              <w:top w:val="nil"/>
              <w:left w:val="nil"/>
            </w:tcBorders>
            <w:vAlign w:val="center"/>
          </w:tcPr>
          <w:p w14:paraId="5D1C9B2D" w14:textId="250F4D1A"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p>
        </w:tc>
        <w:tc>
          <w:tcPr>
            <w:tcW w:w="660" w:type="pct"/>
            <w:tcBorders>
              <w:top w:val="nil"/>
              <w:right w:val="nil"/>
            </w:tcBorders>
            <w:vAlign w:val="center"/>
          </w:tcPr>
          <w:p w14:paraId="2D79FE7E" w14:textId="68D3EBF0" w:rsidR="000D2F36" w:rsidRPr="000E6FA8" w:rsidRDefault="000D2F36" w:rsidP="000D2F36">
            <w:pPr>
              <w:suppressAutoHyphens/>
              <w:ind w:right="11"/>
              <w:jc w:val="right"/>
              <w:rPr>
                <w:rFonts w:asciiTheme="minorHAnsi" w:hAnsiTheme="minorHAnsi" w:cstheme="minorHAnsi"/>
                <w:b/>
                <w:bCs/>
                <w:iCs/>
                <w:color w:val="000000" w:themeColor="text1"/>
                <w:szCs w:val="20"/>
                <w:lang w:eastAsia="uk-UA"/>
              </w:rPr>
            </w:pPr>
          </w:p>
        </w:tc>
      </w:tr>
      <w:tr w:rsidR="00AF6B9C" w:rsidRPr="008756CD" w14:paraId="651C7658" w14:textId="77777777" w:rsidTr="00AF6B9C">
        <w:trPr>
          <w:cantSplit/>
          <w:trHeight w:val="57"/>
          <w:tblHeader/>
        </w:trPr>
        <w:tc>
          <w:tcPr>
            <w:tcW w:w="2427" w:type="pct"/>
            <w:tcBorders>
              <w:top w:val="nil"/>
              <w:left w:val="nil"/>
              <w:right w:val="nil"/>
            </w:tcBorders>
            <w:vAlign w:val="center"/>
          </w:tcPr>
          <w:p w14:paraId="577CC263" w14:textId="13D3052F" w:rsidR="00AF6B9C" w:rsidRPr="000E6FA8" w:rsidRDefault="00AF6B9C" w:rsidP="00AF6B9C">
            <w:pPr>
              <w:jc w:val="left"/>
              <w:rPr>
                <w:rFonts w:asciiTheme="minorHAnsi" w:hAnsiTheme="minorHAnsi" w:cstheme="minorHAnsi"/>
                <w:b/>
                <w:bCs/>
                <w:color w:val="000000" w:themeColor="text1"/>
                <w:szCs w:val="20"/>
              </w:rPr>
            </w:pPr>
            <w:r w:rsidRPr="000E6FA8">
              <w:rPr>
                <w:rFonts w:asciiTheme="minorHAnsi" w:hAnsiTheme="minorHAnsi" w:cstheme="minorHAnsi"/>
                <w:color w:val="000000" w:themeColor="text1"/>
                <w:szCs w:val="20"/>
              </w:rPr>
              <w:t>Короткострокові кредити</w:t>
            </w:r>
          </w:p>
        </w:tc>
        <w:tc>
          <w:tcPr>
            <w:tcW w:w="662" w:type="pct"/>
            <w:tcBorders>
              <w:top w:val="nil"/>
              <w:left w:val="nil"/>
              <w:right w:val="nil"/>
            </w:tcBorders>
            <w:vAlign w:val="center"/>
          </w:tcPr>
          <w:p w14:paraId="683A266E" w14:textId="298A1962" w:rsidR="00AF6B9C" w:rsidRPr="000E6FA8" w:rsidRDefault="00AF6B9C" w:rsidP="00AF6B9C">
            <w:pPr>
              <w:suppressAutoHyphens/>
              <w:ind w:right="11"/>
              <w:jc w:val="right"/>
              <w:rPr>
                <w:rFonts w:asciiTheme="minorHAnsi" w:hAnsiTheme="minorHAnsi" w:cstheme="minorHAnsi"/>
                <w:color w:val="000000" w:themeColor="text1"/>
                <w:szCs w:val="20"/>
              </w:rPr>
            </w:pPr>
            <w:r w:rsidRPr="000E6FA8">
              <w:rPr>
                <w:color w:val="000000" w:themeColor="text1"/>
                <w:szCs w:val="20"/>
              </w:rPr>
              <w:t>(532 692)</w:t>
            </w:r>
          </w:p>
        </w:tc>
        <w:tc>
          <w:tcPr>
            <w:tcW w:w="662" w:type="pct"/>
            <w:tcBorders>
              <w:top w:val="nil"/>
              <w:left w:val="nil"/>
              <w:right w:val="nil"/>
            </w:tcBorders>
            <w:vAlign w:val="center"/>
          </w:tcPr>
          <w:p w14:paraId="19E13B55" w14:textId="432C08AA" w:rsidR="00AF6B9C" w:rsidRPr="000E6FA8" w:rsidRDefault="00AF6B9C" w:rsidP="00AF6B9C">
            <w:pPr>
              <w:suppressAutoHyphens/>
              <w:ind w:right="11"/>
              <w:jc w:val="right"/>
              <w:rPr>
                <w:rFonts w:asciiTheme="minorHAnsi" w:hAnsiTheme="minorHAnsi" w:cstheme="minorHAnsi"/>
                <w:color w:val="000000" w:themeColor="text1"/>
                <w:szCs w:val="20"/>
              </w:rPr>
            </w:pPr>
            <w:r w:rsidRPr="000E6FA8">
              <w:rPr>
                <w:color w:val="000000" w:themeColor="text1"/>
                <w:szCs w:val="20"/>
              </w:rPr>
              <w:t xml:space="preserve">-  </w:t>
            </w:r>
          </w:p>
        </w:tc>
        <w:tc>
          <w:tcPr>
            <w:tcW w:w="589" w:type="pct"/>
            <w:tcBorders>
              <w:top w:val="nil"/>
              <w:left w:val="nil"/>
            </w:tcBorders>
            <w:vAlign w:val="center"/>
          </w:tcPr>
          <w:p w14:paraId="70ADD889" w14:textId="5D8EE8C4" w:rsidR="00AF6B9C" w:rsidRPr="000E6FA8" w:rsidRDefault="00AF6B9C" w:rsidP="00AF6B9C">
            <w:pPr>
              <w:suppressAutoHyphens/>
              <w:ind w:right="11"/>
              <w:jc w:val="right"/>
              <w:rPr>
                <w:rFonts w:asciiTheme="minorHAnsi" w:hAnsiTheme="minorHAnsi" w:cstheme="minorHAnsi"/>
                <w:color w:val="000000" w:themeColor="text1"/>
                <w:szCs w:val="20"/>
              </w:rPr>
            </w:pPr>
            <w:r w:rsidRPr="000E6FA8">
              <w:rPr>
                <w:color w:val="000000" w:themeColor="text1"/>
                <w:szCs w:val="20"/>
              </w:rPr>
              <w:t xml:space="preserve">-  </w:t>
            </w:r>
          </w:p>
        </w:tc>
        <w:tc>
          <w:tcPr>
            <w:tcW w:w="660" w:type="pct"/>
            <w:tcBorders>
              <w:top w:val="nil"/>
              <w:right w:val="nil"/>
            </w:tcBorders>
            <w:vAlign w:val="center"/>
          </w:tcPr>
          <w:p w14:paraId="5858E37F" w14:textId="4C65B405" w:rsidR="00AF6B9C" w:rsidRPr="000E6FA8" w:rsidRDefault="00AF6B9C" w:rsidP="00AF6B9C">
            <w:pPr>
              <w:suppressAutoHyphens/>
              <w:ind w:right="11"/>
              <w:jc w:val="right"/>
              <w:rPr>
                <w:rFonts w:asciiTheme="minorHAnsi" w:hAnsiTheme="minorHAnsi" w:cstheme="minorHAnsi"/>
                <w:color w:val="000000" w:themeColor="text1"/>
                <w:szCs w:val="20"/>
              </w:rPr>
            </w:pPr>
            <w:r w:rsidRPr="000E6FA8">
              <w:rPr>
                <w:b/>
                <w:bCs/>
                <w:color w:val="000000" w:themeColor="text1"/>
                <w:szCs w:val="20"/>
              </w:rPr>
              <w:t>(532 692)</w:t>
            </w:r>
          </w:p>
        </w:tc>
      </w:tr>
      <w:tr w:rsidR="00AF6B9C" w:rsidRPr="008756CD" w14:paraId="544E6F3F" w14:textId="77777777" w:rsidTr="00AF6B9C">
        <w:trPr>
          <w:cantSplit/>
          <w:tblHeader/>
        </w:trPr>
        <w:tc>
          <w:tcPr>
            <w:tcW w:w="2427" w:type="pct"/>
            <w:tcBorders>
              <w:top w:val="nil"/>
              <w:left w:val="nil"/>
              <w:right w:val="nil"/>
            </w:tcBorders>
            <w:vAlign w:val="center"/>
          </w:tcPr>
          <w:p w14:paraId="686642CB" w14:textId="027559D1" w:rsidR="00AF6B9C" w:rsidRPr="000E6FA8" w:rsidRDefault="00AF6B9C" w:rsidP="00AF6B9C">
            <w:pPr>
              <w:jc w:val="left"/>
              <w:rPr>
                <w:rFonts w:asciiTheme="minorHAnsi" w:hAnsiTheme="minorHAnsi" w:cstheme="minorHAnsi"/>
                <w:b/>
                <w:bCs/>
                <w:color w:val="000000" w:themeColor="text1"/>
                <w:szCs w:val="20"/>
              </w:rPr>
            </w:pPr>
            <w:r w:rsidRPr="000E6FA8">
              <w:rPr>
                <w:rFonts w:asciiTheme="minorHAnsi" w:hAnsiTheme="minorHAnsi" w:cstheme="minorHAnsi"/>
                <w:color w:val="000000" w:themeColor="text1"/>
                <w:szCs w:val="20"/>
              </w:rPr>
              <w:t>Торгівельна кредиторська заборгованість</w:t>
            </w:r>
          </w:p>
        </w:tc>
        <w:tc>
          <w:tcPr>
            <w:tcW w:w="662" w:type="pct"/>
            <w:tcBorders>
              <w:top w:val="nil"/>
              <w:left w:val="nil"/>
              <w:right w:val="nil"/>
            </w:tcBorders>
            <w:vAlign w:val="center"/>
          </w:tcPr>
          <w:p w14:paraId="361D5F48" w14:textId="7CBB64CF" w:rsidR="00AF6B9C" w:rsidRPr="000E6FA8" w:rsidRDefault="00AF6B9C" w:rsidP="000E6FA8">
            <w:pPr>
              <w:suppressAutoHyphens/>
              <w:ind w:right="11"/>
              <w:jc w:val="right"/>
              <w:rPr>
                <w:rFonts w:asciiTheme="minorHAnsi" w:hAnsiTheme="minorHAnsi" w:cstheme="minorHAnsi"/>
                <w:color w:val="000000" w:themeColor="text1"/>
                <w:szCs w:val="20"/>
              </w:rPr>
            </w:pPr>
            <w:r w:rsidRPr="000E6FA8">
              <w:rPr>
                <w:color w:val="000000" w:themeColor="text1"/>
                <w:szCs w:val="20"/>
              </w:rPr>
              <w:t>(</w:t>
            </w:r>
            <w:r w:rsidR="000E6FA8" w:rsidRPr="000E6FA8">
              <w:rPr>
                <w:color w:val="000000" w:themeColor="text1"/>
                <w:szCs w:val="20"/>
              </w:rPr>
              <w:t>35 983</w:t>
            </w:r>
            <w:r w:rsidRPr="000E6FA8">
              <w:rPr>
                <w:color w:val="000000" w:themeColor="text1"/>
                <w:szCs w:val="20"/>
              </w:rPr>
              <w:t>)</w:t>
            </w:r>
          </w:p>
        </w:tc>
        <w:tc>
          <w:tcPr>
            <w:tcW w:w="662" w:type="pct"/>
            <w:tcBorders>
              <w:top w:val="nil"/>
              <w:left w:val="nil"/>
              <w:right w:val="nil"/>
            </w:tcBorders>
            <w:vAlign w:val="center"/>
          </w:tcPr>
          <w:p w14:paraId="1FDD1876" w14:textId="0B267019" w:rsidR="00AF6B9C" w:rsidRPr="000E6FA8" w:rsidRDefault="00AF6B9C" w:rsidP="000E6FA8">
            <w:pPr>
              <w:suppressAutoHyphens/>
              <w:ind w:right="11"/>
              <w:jc w:val="right"/>
              <w:rPr>
                <w:rFonts w:asciiTheme="minorHAnsi" w:hAnsiTheme="minorHAnsi" w:cstheme="minorHAnsi"/>
                <w:color w:val="000000" w:themeColor="text1"/>
                <w:szCs w:val="20"/>
              </w:rPr>
            </w:pPr>
            <w:r w:rsidRPr="000E6FA8">
              <w:rPr>
                <w:color w:val="000000" w:themeColor="text1"/>
                <w:szCs w:val="20"/>
              </w:rPr>
              <w:t>(</w:t>
            </w:r>
            <w:r w:rsidR="000E6FA8" w:rsidRPr="000E6FA8">
              <w:rPr>
                <w:color w:val="000000" w:themeColor="text1"/>
                <w:szCs w:val="20"/>
              </w:rPr>
              <w:t>52 392</w:t>
            </w:r>
            <w:r w:rsidRPr="000E6FA8">
              <w:rPr>
                <w:color w:val="000000" w:themeColor="text1"/>
                <w:szCs w:val="20"/>
              </w:rPr>
              <w:t>)</w:t>
            </w:r>
          </w:p>
        </w:tc>
        <w:tc>
          <w:tcPr>
            <w:tcW w:w="589" w:type="pct"/>
            <w:tcBorders>
              <w:top w:val="nil"/>
              <w:left w:val="nil"/>
            </w:tcBorders>
            <w:vAlign w:val="center"/>
          </w:tcPr>
          <w:p w14:paraId="00002F67" w14:textId="2CF57380" w:rsidR="00AF6B9C" w:rsidRPr="000E6FA8" w:rsidRDefault="00AF6B9C" w:rsidP="000E6FA8">
            <w:pPr>
              <w:suppressAutoHyphens/>
              <w:ind w:right="11"/>
              <w:jc w:val="right"/>
              <w:rPr>
                <w:rFonts w:asciiTheme="minorHAnsi" w:hAnsiTheme="minorHAnsi" w:cstheme="minorHAnsi"/>
                <w:color w:val="000000" w:themeColor="text1"/>
                <w:szCs w:val="20"/>
              </w:rPr>
            </w:pPr>
            <w:r w:rsidRPr="000E6FA8">
              <w:rPr>
                <w:color w:val="000000" w:themeColor="text1"/>
                <w:szCs w:val="20"/>
              </w:rPr>
              <w:t>(</w:t>
            </w:r>
            <w:r w:rsidR="000E6FA8" w:rsidRPr="000E6FA8">
              <w:rPr>
                <w:color w:val="000000" w:themeColor="text1"/>
                <w:szCs w:val="20"/>
              </w:rPr>
              <w:t>36 975</w:t>
            </w:r>
            <w:r w:rsidRPr="000E6FA8">
              <w:rPr>
                <w:color w:val="000000" w:themeColor="text1"/>
                <w:szCs w:val="20"/>
              </w:rPr>
              <w:t>)</w:t>
            </w:r>
          </w:p>
        </w:tc>
        <w:tc>
          <w:tcPr>
            <w:tcW w:w="660" w:type="pct"/>
            <w:tcBorders>
              <w:top w:val="nil"/>
              <w:right w:val="nil"/>
            </w:tcBorders>
            <w:vAlign w:val="center"/>
          </w:tcPr>
          <w:p w14:paraId="22272F4D" w14:textId="2763CF42" w:rsidR="00AF6B9C" w:rsidRPr="000E6FA8" w:rsidRDefault="00AF6B9C" w:rsidP="000E6FA8">
            <w:pPr>
              <w:suppressAutoHyphens/>
              <w:ind w:right="11"/>
              <w:jc w:val="right"/>
              <w:rPr>
                <w:rFonts w:asciiTheme="minorHAnsi" w:hAnsiTheme="minorHAnsi" w:cstheme="minorHAnsi"/>
                <w:color w:val="000000" w:themeColor="text1"/>
                <w:szCs w:val="20"/>
              </w:rPr>
            </w:pPr>
            <w:r w:rsidRPr="000E6FA8">
              <w:rPr>
                <w:b/>
                <w:bCs/>
                <w:color w:val="000000" w:themeColor="text1"/>
                <w:szCs w:val="20"/>
              </w:rPr>
              <w:t>(</w:t>
            </w:r>
            <w:r w:rsidR="000E6FA8" w:rsidRPr="000E6FA8">
              <w:rPr>
                <w:b/>
                <w:bCs/>
                <w:color w:val="000000" w:themeColor="text1"/>
                <w:szCs w:val="20"/>
              </w:rPr>
              <w:t>125 350</w:t>
            </w:r>
            <w:r w:rsidRPr="000E6FA8">
              <w:rPr>
                <w:b/>
                <w:bCs/>
                <w:color w:val="000000" w:themeColor="text1"/>
                <w:szCs w:val="20"/>
              </w:rPr>
              <w:t>)</w:t>
            </w:r>
          </w:p>
        </w:tc>
      </w:tr>
      <w:tr w:rsidR="00AF6B9C" w:rsidRPr="00DB4781" w14:paraId="2835E8AD" w14:textId="77777777" w:rsidTr="00AF6B9C">
        <w:trPr>
          <w:cantSplit/>
          <w:tblHeader/>
        </w:trPr>
        <w:tc>
          <w:tcPr>
            <w:tcW w:w="2427" w:type="pct"/>
            <w:tcBorders>
              <w:top w:val="nil"/>
              <w:left w:val="nil"/>
              <w:bottom w:val="single" w:sz="4" w:space="0" w:color="auto"/>
              <w:right w:val="nil"/>
            </w:tcBorders>
            <w:vAlign w:val="center"/>
          </w:tcPr>
          <w:p w14:paraId="2C8007B4" w14:textId="1C6D73E1" w:rsidR="00AF6B9C" w:rsidRPr="00DB4781" w:rsidRDefault="00AF6B9C" w:rsidP="00AF6B9C">
            <w:pPr>
              <w:jc w:val="left"/>
              <w:rPr>
                <w:rFonts w:asciiTheme="minorHAnsi" w:hAnsiTheme="minorHAnsi" w:cstheme="minorHAnsi"/>
                <w:b/>
                <w:bCs/>
                <w:color w:val="000000" w:themeColor="text1"/>
                <w:szCs w:val="20"/>
              </w:rPr>
            </w:pPr>
            <w:r w:rsidRPr="00DB4781">
              <w:rPr>
                <w:rFonts w:asciiTheme="minorHAnsi" w:hAnsiTheme="minorHAnsi" w:cstheme="minorHAnsi"/>
                <w:color w:val="000000" w:themeColor="text1"/>
                <w:szCs w:val="20"/>
              </w:rPr>
              <w:t>Інші зобов'язання</w:t>
            </w:r>
          </w:p>
        </w:tc>
        <w:tc>
          <w:tcPr>
            <w:tcW w:w="662" w:type="pct"/>
            <w:tcBorders>
              <w:top w:val="nil"/>
              <w:left w:val="nil"/>
              <w:bottom w:val="single" w:sz="4" w:space="0" w:color="auto"/>
              <w:right w:val="nil"/>
            </w:tcBorders>
            <w:vAlign w:val="center"/>
          </w:tcPr>
          <w:p w14:paraId="46B44C52" w14:textId="04D34D3E"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color w:val="000000" w:themeColor="text1"/>
                <w:szCs w:val="20"/>
              </w:rPr>
              <w:t>(</w:t>
            </w:r>
            <w:r w:rsidR="000E6FA8" w:rsidRPr="00DB4781">
              <w:rPr>
                <w:color w:val="000000" w:themeColor="text1"/>
                <w:szCs w:val="20"/>
              </w:rPr>
              <w:t>939 233</w:t>
            </w:r>
            <w:r w:rsidRPr="00DB4781">
              <w:rPr>
                <w:color w:val="000000" w:themeColor="text1"/>
                <w:szCs w:val="20"/>
              </w:rPr>
              <w:t>)</w:t>
            </w:r>
          </w:p>
        </w:tc>
        <w:tc>
          <w:tcPr>
            <w:tcW w:w="662" w:type="pct"/>
            <w:tcBorders>
              <w:top w:val="nil"/>
              <w:left w:val="nil"/>
              <w:bottom w:val="single" w:sz="4" w:space="0" w:color="auto"/>
              <w:right w:val="nil"/>
            </w:tcBorders>
            <w:vAlign w:val="center"/>
          </w:tcPr>
          <w:p w14:paraId="0DE0CE05" w14:textId="1539EE29" w:rsidR="00AF6B9C" w:rsidRPr="00DB4781" w:rsidRDefault="00AF6B9C" w:rsidP="00AF6B9C">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  </w:t>
            </w:r>
          </w:p>
        </w:tc>
        <w:tc>
          <w:tcPr>
            <w:tcW w:w="589" w:type="pct"/>
            <w:tcBorders>
              <w:top w:val="nil"/>
              <w:left w:val="nil"/>
              <w:bottom w:val="single" w:sz="4" w:space="0" w:color="auto"/>
            </w:tcBorders>
            <w:vAlign w:val="center"/>
          </w:tcPr>
          <w:p w14:paraId="044C3C55" w14:textId="40F2C4A1" w:rsidR="00AF6B9C" w:rsidRPr="00DB4781" w:rsidRDefault="00AF6B9C" w:rsidP="00AF6B9C">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  </w:t>
            </w:r>
          </w:p>
        </w:tc>
        <w:tc>
          <w:tcPr>
            <w:tcW w:w="660" w:type="pct"/>
            <w:tcBorders>
              <w:top w:val="nil"/>
              <w:bottom w:val="single" w:sz="4" w:space="0" w:color="auto"/>
              <w:right w:val="nil"/>
            </w:tcBorders>
            <w:vAlign w:val="center"/>
          </w:tcPr>
          <w:p w14:paraId="7BB34A4A" w14:textId="69FE7C13"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w:t>
            </w:r>
            <w:r w:rsidR="000E6FA8" w:rsidRPr="00DB4781">
              <w:rPr>
                <w:b/>
                <w:bCs/>
                <w:color w:val="000000" w:themeColor="text1"/>
                <w:szCs w:val="20"/>
              </w:rPr>
              <w:t>939 233</w:t>
            </w:r>
            <w:r w:rsidRPr="00DB4781">
              <w:rPr>
                <w:b/>
                <w:bCs/>
                <w:color w:val="000000" w:themeColor="text1"/>
                <w:szCs w:val="20"/>
              </w:rPr>
              <w:t>)</w:t>
            </w:r>
          </w:p>
        </w:tc>
      </w:tr>
      <w:tr w:rsidR="00AF6B9C" w:rsidRPr="00DB4781" w14:paraId="248A2104" w14:textId="77777777" w:rsidTr="00AF6B9C">
        <w:trPr>
          <w:cantSplit/>
          <w:tblHeader/>
        </w:trPr>
        <w:tc>
          <w:tcPr>
            <w:tcW w:w="2427" w:type="pct"/>
            <w:tcBorders>
              <w:top w:val="single" w:sz="4" w:space="0" w:color="auto"/>
              <w:left w:val="nil"/>
              <w:bottom w:val="single" w:sz="4" w:space="0" w:color="auto"/>
              <w:right w:val="nil"/>
            </w:tcBorders>
            <w:vAlign w:val="center"/>
          </w:tcPr>
          <w:p w14:paraId="7F35D787" w14:textId="4556A013" w:rsidR="00AF6B9C" w:rsidRPr="00DB4781" w:rsidRDefault="00AF6B9C" w:rsidP="00AF6B9C">
            <w:pPr>
              <w:jc w:val="left"/>
              <w:rPr>
                <w:rFonts w:asciiTheme="minorHAnsi" w:hAnsiTheme="minorHAnsi" w:cstheme="minorHAnsi"/>
                <w:b/>
                <w:bCs/>
                <w:color w:val="000000" w:themeColor="text1"/>
                <w:szCs w:val="20"/>
              </w:rPr>
            </w:pPr>
            <w:r w:rsidRPr="00DB4781">
              <w:rPr>
                <w:rFonts w:asciiTheme="minorHAnsi" w:hAnsiTheme="minorHAnsi" w:cstheme="minorHAnsi"/>
                <w:b/>
                <w:bCs/>
                <w:color w:val="000000" w:themeColor="text1"/>
                <w:szCs w:val="20"/>
              </w:rPr>
              <w:t>Разом зобов'язань</w:t>
            </w:r>
          </w:p>
        </w:tc>
        <w:tc>
          <w:tcPr>
            <w:tcW w:w="662" w:type="pct"/>
            <w:tcBorders>
              <w:top w:val="single" w:sz="4" w:space="0" w:color="auto"/>
              <w:left w:val="nil"/>
              <w:bottom w:val="single" w:sz="4" w:space="0" w:color="auto"/>
              <w:right w:val="nil"/>
            </w:tcBorders>
            <w:vAlign w:val="center"/>
          </w:tcPr>
          <w:p w14:paraId="4F9A6395" w14:textId="4E4FD854"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w:t>
            </w:r>
            <w:r w:rsidR="000E6FA8" w:rsidRPr="00DB4781">
              <w:rPr>
                <w:b/>
                <w:bCs/>
                <w:color w:val="000000" w:themeColor="text1"/>
                <w:szCs w:val="20"/>
              </w:rPr>
              <w:t>1 507 908</w:t>
            </w:r>
            <w:r w:rsidRPr="00DB4781">
              <w:rPr>
                <w:b/>
                <w:bCs/>
                <w:color w:val="000000" w:themeColor="text1"/>
                <w:szCs w:val="20"/>
              </w:rPr>
              <w:t>)</w:t>
            </w:r>
          </w:p>
        </w:tc>
        <w:tc>
          <w:tcPr>
            <w:tcW w:w="662" w:type="pct"/>
            <w:tcBorders>
              <w:top w:val="single" w:sz="4" w:space="0" w:color="auto"/>
              <w:left w:val="nil"/>
              <w:bottom w:val="single" w:sz="4" w:space="0" w:color="auto"/>
              <w:right w:val="nil"/>
            </w:tcBorders>
            <w:vAlign w:val="center"/>
          </w:tcPr>
          <w:p w14:paraId="70EB299C" w14:textId="31F385A5"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w:t>
            </w:r>
            <w:r w:rsidR="000E6FA8" w:rsidRPr="00DB4781">
              <w:rPr>
                <w:b/>
                <w:bCs/>
                <w:color w:val="000000" w:themeColor="text1"/>
                <w:szCs w:val="20"/>
              </w:rPr>
              <w:t>52 392</w:t>
            </w:r>
            <w:r w:rsidRPr="00DB4781">
              <w:rPr>
                <w:b/>
                <w:bCs/>
                <w:color w:val="000000" w:themeColor="text1"/>
                <w:szCs w:val="20"/>
              </w:rPr>
              <w:t>)</w:t>
            </w:r>
          </w:p>
        </w:tc>
        <w:tc>
          <w:tcPr>
            <w:tcW w:w="589" w:type="pct"/>
            <w:tcBorders>
              <w:top w:val="single" w:sz="4" w:space="0" w:color="auto"/>
              <w:left w:val="nil"/>
              <w:bottom w:val="single" w:sz="4" w:space="0" w:color="auto"/>
            </w:tcBorders>
            <w:vAlign w:val="center"/>
          </w:tcPr>
          <w:p w14:paraId="08A847C0" w14:textId="6ED8B08D"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w:t>
            </w:r>
            <w:r w:rsidR="000E6FA8" w:rsidRPr="00DB4781">
              <w:rPr>
                <w:b/>
                <w:bCs/>
                <w:color w:val="000000" w:themeColor="text1"/>
                <w:szCs w:val="20"/>
              </w:rPr>
              <w:t>36 975</w:t>
            </w:r>
            <w:r w:rsidRPr="00DB4781">
              <w:rPr>
                <w:b/>
                <w:bCs/>
                <w:color w:val="000000" w:themeColor="text1"/>
                <w:szCs w:val="20"/>
              </w:rPr>
              <w:t>)</w:t>
            </w:r>
          </w:p>
        </w:tc>
        <w:tc>
          <w:tcPr>
            <w:tcW w:w="660" w:type="pct"/>
            <w:tcBorders>
              <w:top w:val="single" w:sz="4" w:space="0" w:color="auto"/>
              <w:bottom w:val="single" w:sz="4" w:space="0" w:color="auto"/>
              <w:right w:val="nil"/>
            </w:tcBorders>
            <w:vAlign w:val="center"/>
          </w:tcPr>
          <w:p w14:paraId="3AD550D0" w14:textId="43630370"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(1</w:t>
            </w:r>
            <w:r w:rsidR="000E6FA8" w:rsidRPr="00DB4781">
              <w:rPr>
                <w:b/>
                <w:bCs/>
                <w:color w:val="000000" w:themeColor="text1"/>
                <w:szCs w:val="20"/>
              </w:rPr>
              <w:t> 597 275</w:t>
            </w:r>
            <w:r w:rsidRPr="00DB4781">
              <w:rPr>
                <w:b/>
                <w:bCs/>
                <w:color w:val="000000" w:themeColor="text1"/>
                <w:szCs w:val="20"/>
              </w:rPr>
              <w:t>)</w:t>
            </w:r>
          </w:p>
        </w:tc>
      </w:tr>
      <w:tr w:rsidR="00AF6B9C" w:rsidRPr="00DB4781" w14:paraId="337C2EB8" w14:textId="77777777" w:rsidTr="00AF6B9C">
        <w:trPr>
          <w:cantSplit/>
          <w:tblHeader/>
        </w:trPr>
        <w:tc>
          <w:tcPr>
            <w:tcW w:w="2427" w:type="pct"/>
            <w:tcBorders>
              <w:top w:val="single" w:sz="4" w:space="0" w:color="auto"/>
              <w:left w:val="nil"/>
              <w:right w:val="nil"/>
            </w:tcBorders>
            <w:vAlign w:val="center"/>
          </w:tcPr>
          <w:p w14:paraId="3E031620" w14:textId="546A1F92" w:rsidR="00AF6B9C" w:rsidRPr="00DB4781" w:rsidRDefault="00AF6B9C" w:rsidP="00AF6B9C">
            <w:pPr>
              <w:jc w:val="left"/>
              <w:rPr>
                <w:rFonts w:asciiTheme="minorHAnsi" w:hAnsiTheme="minorHAnsi" w:cstheme="minorHAnsi"/>
                <w:b/>
                <w:bCs/>
                <w:color w:val="000000" w:themeColor="text1"/>
                <w:szCs w:val="20"/>
              </w:rPr>
            </w:pPr>
            <w:r w:rsidRPr="00DB4781">
              <w:rPr>
                <w:rFonts w:asciiTheme="minorHAnsi" w:hAnsiTheme="minorHAnsi" w:cstheme="minorHAnsi"/>
                <w:b/>
                <w:bCs/>
                <w:color w:val="000000" w:themeColor="text1"/>
                <w:szCs w:val="20"/>
              </w:rPr>
              <w:t>Загальна балансова вартість</w:t>
            </w:r>
          </w:p>
        </w:tc>
        <w:tc>
          <w:tcPr>
            <w:tcW w:w="662" w:type="pct"/>
            <w:tcBorders>
              <w:top w:val="single" w:sz="4" w:space="0" w:color="auto"/>
              <w:left w:val="nil"/>
              <w:right w:val="nil"/>
            </w:tcBorders>
            <w:vAlign w:val="center"/>
          </w:tcPr>
          <w:p w14:paraId="1774A9C3" w14:textId="4E4D9278" w:rsidR="00AF6B9C" w:rsidRPr="00DB4781" w:rsidRDefault="000E6FA8" w:rsidP="00AF6B9C">
            <w:pPr>
              <w:suppressAutoHyphens/>
              <w:ind w:right="11"/>
              <w:jc w:val="right"/>
              <w:rPr>
                <w:rFonts w:asciiTheme="minorHAnsi" w:hAnsiTheme="minorHAnsi" w:cstheme="minorHAnsi"/>
                <w:color w:val="000000" w:themeColor="text1"/>
                <w:szCs w:val="20"/>
              </w:rPr>
            </w:pPr>
            <w:r w:rsidRPr="00DB4781">
              <w:rPr>
                <w:b/>
                <w:bCs/>
                <w:color w:val="000000" w:themeColor="text1"/>
                <w:szCs w:val="20"/>
              </w:rPr>
              <w:t>(51 940)</w:t>
            </w:r>
            <w:r w:rsidR="00AF6B9C" w:rsidRPr="00DB4781">
              <w:rPr>
                <w:b/>
                <w:bCs/>
                <w:color w:val="000000" w:themeColor="text1"/>
                <w:szCs w:val="20"/>
              </w:rPr>
              <w:t xml:space="preserve"> </w:t>
            </w:r>
          </w:p>
        </w:tc>
        <w:tc>
          <w:tcPr>
            <w:tcW w:w="662" w:type="pct"/>
            <w:tcBorders>
              <w:top w:val="single" w:sz="4" w:space="0" w:color="auto"/>
              <w:left w:val="nil"/>
              <w:right w:val="nil"/>
            </w:tcBorders>
            <w:vAlign w:val="center"/>
          </w:tcPr>
          <w:p w14:paraId="71A15309" w14:textId="0ED48439" w:rsidR="00AF6B9C" w:rsidRPr="00DB4781" w:rsidRDefault="000E6FA8" w:rsidP="00AF6B9C">
            <w:pPr>
              <w:suppressAutoHyphens/>
              <w:ind w:right="11"/>
              <w:jc w:val="right"/>
              <w:rPr>
                <w:rFonts w:asciiTheme="minorHAnsi" w:hAnsiTheme="minorHAnsi" w:cstheme="minorHAnsi"/>
                <w:color w:val="000000" w:themeColor="text1"/>
                <w:szCs w:val="20"/>
              </w:rPr>
            </w:pPr>
            <w:r w:rsidRPr="00DB4781">
              <w:rPr>
                <w:b/>
                <w:bCs/>
                <w:color w:val="000000" w:themeColor="text1"/>
                <w:szCs w:val="20"/>
              </w:rPr>
              <w:t>(42 358)</w:t>
            </w:r>
            <w:r w:rsidR="00AF6B9C" w:rsidRPr="00DB4781">
              <w:rPr>
                <w:b/>
                <w:bCs/>
                <w:color w:val="000000" w:themeColor="text1"/>
                <w:szCs w:val="20"/>
              </w:rPr>
              <w:t xml:space="preserve"> </w:t>
            </w:r>
          </w:p>
        </w:tc>
        <w:tc>
          <w:tcPr>
            <w:tcW w:w="589" w:type="pct"/>
            <w:tcBorders>
              <w:top w:val="single" w:sz="4" w:space="0" w:color="auto"/>
              <w:left w:val="nil"/>
            </w:tcBorders>
            <w:vAlign w:val="center"/>
          </w:tcPr>
          <w:p w14:paraId="54FB7F1F" w14:textId="77F74DB7"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w:t>
            </w:r>
            <w:r w:rsidR="000E6FA8" w:rsidRPr="00DB4781">
              <w:rPr>
                <w:b/>
                <w:bCs/>
                <w:color w:val="000000" w:themeColor="text1"/>
                <w:szCs w:val="20"/>
              </w:rPr>
              <w:t>36 947</w:t>
            </w:r>
            <w:r w:rsidRPr="00DB4781">
              <w:rPr>
                <w:b/>
                <w:bCs/>
                <w:color w:val="000000" w:themeColor="text1"/>
                <w:szCs w:val="20"/>
              </w:rPr>
              <w:t>)</w:t>
            </w:r>
          </w:p>
        </w:tc>
        <w:tc>
          <w:tcPr>
            <w:tcW w:w="660" w:type="pct"/>
            <w:tcBorders>
              <w:top w:val="single" w:sz="4" w:space="0" w:color="auto"/>
              <w:right w:val="nil"/>
            </w:tcBorders>
            <w:vAlign w:val="center"/>
          </w:tcPr>
          <w:p w14:paraId="4F48B608" w14:textId="618744CC" w:rsidR="00AF6B9C" w:rsidRPr="00DB4781" w:rsidRDefault="00AF6B9C" w:rsidP="000E6FA8">
            <w:pPr>
              <w:suppressAutoHyphens/>
              <w:ind w:right="11"/>
              <w:jc w:val="right"/>
              <w:rPr>
                <w:rFonts w:asciiTheme="minorHAnsi" w:hAnsiTheme="minorHAnsi" w:cstheme="minorHAnsi"/>
                <w:color w:val="000000" w:themeColor="text1"/>
                <w:szCs w:val="20"/>
              </w:rPr>
            </w:pPr>
            <w:r w:rsidRPr="00DB4781">
              <w:rPr>
                <w:b/>
                <w:bCs/>
                <w:color w:val="000000" w:themeColor="text1"/>
                <w:szCs w:val="20"/>
              </w:rPr>
              <w:t>(</w:t>
            </w:r>
            <w:r w:rsidR="000E6FA8" w:rsidRPr="00DB4781">
              <w:rPr>
                <w:b/>
                <w:bCs/>
                <w:color w:val="000000" w:themeColor="text1"/>
                <w:szCs w:val="20"/>
              </w:rPr>
              <w:t>131 245</w:t>
            </w:r>
            <w:r w:rsidRPr="00DB4781">
              <w:rPr>
                <w:b/>
                <w:bCs/>
                <w:color w:val="000000" w:themeColor="text1"/>
                <w:szCs w:val="20"/>
              </w:rPr>
              <w:t>)</w:t>
            </w:r>
          </w:p>
        </w:tc>
      </w:tr>
      <w:tr w:rsidR="00A22CC4" w:rsidRPr="00DB4781" w14:paraId="1018D1C5" w14:textId="77777777" w:rsidTr="00AF6B9C">
        <w:trPr>
          <w:cantSplit/>
          <w:trHeight w:val="57"/>
          <w:tblHeader/>
        </w:trPr>
        <w:tc>
          <w:tcPr>
            <w:tcW w:w="2427" w:type="pct"/>
            <w:tcBorders>
              <w:top w:val="nil"/>
              <w:left w:val="nil"/>
              <w:right w:val="nil"/>
            </w:tcBorders>
            <w:vAlign w:val="center"/>
          </w:tcPr>
          <w:p w14:paraId="761B5720" w14:textId="77777777" w:rsidR="00D66075" w:rsidRPr="00DB4781" w:rsidRDefault="00D66075" w:rsidP="000D2F36">
            <w:pPr>
              <w:jc w:val="left"/>
              <w:rPr>
                <w:rFonts w:asciiTheme="minorHAnsi" w:hAnsiTheme="minorHAnsi" w:cstheme="minorHAnsi"/>
                <w:b/>
                <w:bCs/>
                <w:color w:val="000000" w:themeColor="text1"/>
                <w:szCs w:val="20"/>
              </w:rPr>
            </w:pPr>
          </w:p>
        </w:tc>
        <w:tc>
          <w:tcPr>
            <w:tcW w:w="662" w:type="pct"/>
            <w:tcBorders>
              <w:top w:val="nil"/>
              <w:left w:val="nil"/>
              <w:right w:val="nil"/>
            </w:tcBorders>
            <w:vAlign w:val="center"/>
          </w:tcPr>
          <w:p w14:paraId="11EA6662" w14:textId="77777777" w:rsidR="00D66075" w:rsidRPr="00DB4781" w:rsidRDefault="00D66075" w:rsidP="000D2F36">
            <w:pPr>
              <w:suppressAutoHyphens/>
              <w:ind w:right="11"/>
              <w:jc w:val="right"/>
              <w:rPr>
                <w:rFonts w:asciiTheme="minorHAnsi" w:hAnsiTheme="minorHAnsi" w:cstheme="minorHAnsi"/>
                <w:b/>
                <w:bCs/>
                <w:color w:val="000000" w:themeColor="text1"/>
                <w:szCs w:val="20"/>
              </w:rPr>
            </w:pPr>
          </w:p>
        </w:tc>
        <w:tc>
          <w:tcPr>
            <w:tcW w:w="662" w:type="pct"/>
            <w:tcBorders>
              <w:top w:val="nil"/>
              <w:left w:val="nil"/>
              <w:right w:val="nil"/>
            </w:tcBorders>
            <w:vAlign w:val="center"/>
          </w:tcPr>
          <w:p w14:paraId="68666589" w14:textId="77777777" w:rsidR="00D66075" w:rsidRPr="00DB4781" w:rsidRDefault="00D66075" w:rsidP="000D2F36">
            <w:pPr>
              <w:suppressAutoHyphens/>
              <w:ind w:right="11"/>
              <w:jc w:val="right"/>
              <w:rPr>
                <w:rFonts w:asciiTheme="minorHAnsi" w:hAnsiTheme="minorHAnsi" w:cstheme="minorHAnsi"/>
                <w:b/>
                <w:bCs/>
                <w:color w:val="000000" w:themeColor="text1"/>
                <w:szCs w:val="20"/>
              </w:rPr>
            </w:pPr>
          </w:p>
        </w:tc>
        <w:tc>
          <w:tcPr>
            <w:tcW w:w="589" w:type="pct"/>
            <w:tcBorders>
              <w:top w:val="nil"/>
              <w:left w:val="nil"/>
            </w:tcBorders>
            <w:vAlign w:val="center"/>
          </w:tcPr>
          <w:p w14:paraId="3B5231DB" w14:textId="77777777" w:rsidR="00D66075" w:rsidRPr="00DB4781" w:rsidRDefault="00D66075" w:rsidP="000D2F36">
            <w:pPr>
              <w:suppressAutoHyphens/>
              <w:ind w:right="11"/>
              <w:jc w:val="right"/>
              <w:rPr>
                <w:rFonts w:asciiTheme="minorHAnsi" w:hAnsiTheme="minorHAnsi" w:cstheme="minorHAnsi"/>
                <w:b/>
                <w:bCs/>
                <w:color w:val="000000" w:themeColor="text1"/>
                <w:szCs w:val="20"/>
              </w:rPr>
            </w:pPr>
          </w:p>
        </w:tc>
        <w:tc>
          <w:tcPr>
            <w:tcW w:w="660" w:type="pct"/>
            <w:tcBorders>
              <w:top w:val="nil"/>
              <w:right w:val="nil"/>
            </w:tcBorders>
            <w:vAlign w:val="center"/>
          </w:tcPr>
          <w:p w14:paraId="5B4F666A" w14:textId="77777777" w:rsidR="00D66075" w:rsidRPr="00DB4781" w:rsidRDefault="00D66075" w:rsidP="000D2F36">
            <w:pPr>
              <w:suppressAutoHyphens/>
              <w:ind w:right="11"/>
              <w:jc w:val="right"/>
              <w:rPr>
                <w:rFonts w:asciiTheme="minorHAnsi" w:hAnsiTheme="minorHAnsi" w:cstheme="minorHAnsi"/>
                <w:b/>
                <w:bCs/>
                <w:color w:val="000000" w:themeColor="text1"/>
                <w:szCs w:val="20"/>
              </w:rPr>
            </w:pPr>
          </w:p>
        </w:tc>
      </w:tr>
      <w:tr w:rsidR="00433801" w:rsidRPr="00DB4781" w14:paraId="391B4053" w14:textId="77777777" w:rsidTr="00433801">
        <w:trPr>
          <w:cantSplit/>
          <w:trHeight w:val="58"/>
          <w:tblHeader/>
        </w:trPr>
        <w:tc>
          <w:tcPr>
            <w:tcW w:w="2427" w:type="pct"/>
            <w:tcBorders>
              <w:top w:val="single" w:sz="4" w:space="0" w:color="auto"/>
              <w:left w:val="nil"/>
              <w:bottom w:val="single" w:sz="4" w:space="0" w:color="auto"/>
              <w:right w:val="nil"/>
            </w:tcBorders>
            <w:vAlign w:val="center"/>
          </w:tcPr>
          <w:p w14:paraId="2563EEB3" w14:textId="6745D89F"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b/>
                <w:bCs/>
                <w:color w:val="000000" w:themeColor="text1"/>
                <w:szCs w:val="20"/>
              </w:rPr>
              <w:t>Станом на 31.12.19 (перераховано)</w:t>
            </w:r>
          </w:p>
        </w:tc>
        <w:tc>
          <w:tcPr>
            <w:tcW w:w="662" w:type="pct"/>
            <w:tcBorders>
              <w:top w:val="single" w:sz="4" w:space="0" w:color="auto"/>
              <w:left w:val="nil"/>
              <w:bottom w:val="single" w:sz="4" w:space="0" w:color="auto"/>
              <w:right w:val="nil"/>
            </w:tcBorders>
            <w:vAlign w:val="center"/>
          </w:tcPr>
          <w:p w14:paraId="05C91E13" w14:textId="77777777" w:rsidR="00433801" w:rsidRPr="00DB4781" w:rsidRDefault="00433801" w:rsidP="00433801">
            <w:pPr>
              <w:suppressAutoHyphens/>
              <w:ind w:right="11"/>
              <w:jc w:val="right"/>
              <w:rPr>
                <w:rFonts w:asciiTheme="minorHAnsi" w:hAnsiTheme="minorHAnsi" w:cstheme="minorHAnsi"/>
                <w:color w:val="000000" w:themeColor="text1"/>
                <w:szCs w:val="20"/>
              </w:rPr>
            </w:pPr>
          </w:p>
        </w:tc>
        <w:tc>
          <w:tcPr>
            <w:tcW w:w="662" w:type="pct"/>
            <w:tcBorders>
              <w:top w:val="single" w:sz="4" w:space="0" w:color="auto"/>
              <w:left w:val="nil"/>
              <w:bottom w:val="single" w:sz="4" w:space="0" w:color="auto"/>
              <w:right w:val="nil"/>
            </w:tcBorders>
            <w:vAlign w:val="center"/>
          </w:tcPr>
          <w:p w14:paraId="0F93789A" w14:textId="77777777" w:rsidR="00433801" w:rsidRPr="00DB4781" w:rsidRDefault="00433801" w:rsidP="00433801">
            <w:pPr>
              <w:suppressAutoHyphens/>
              <w:ind w:right="11"/>
              <w:jc w:val="right"/>
              <w:rPr>
                <w:rFonts w:asciiTheme="minorHAnsi" w:hAnsiTheme="minorHAnsi" w:cstheme="minorHAnsi"/>
                <w:color w:val="000000" w:themeColor="text1"/>
                <w:szCs w:val="20"/>
              </w:rPr>
            </w:pPr>
          </w:p>
        </w:tc>
        <w:tc>
          <w:tcPr>
            <w:tcW w:w="589" w:type="pct"/>
            <w:tcBorders>
              <w:top w:val="single" w:sz="4" w:space="0" w:color="auto"/>
              <w:left w:val="nil"/>
              <w:bottom w:val="single" w:sz="4" w:space="0" w:color="auto"/>
            </w:tcBorders>
            <w:vAlign w:val="center"/>
          </w:tcPr>
          <w:p w14:paraId="27865A2E" w14:textId="77777777" w:rsidR="00433801" w:rsidRPr="00DB4781" w:rsidRDefault="00433801" w:rsidP="00433801">
            <w:pPr>
              <w:suppressAutoHyphens/>
              <w:ind w:right="11"/>
              <w:jc w:val="right"/>
              <w:rPr>
                <w:rFonts w:asciiTheme="minorHAnsi" w:hAnsiTheme="minorHAnsi" w:cstheme="minorHAnsi"/>
                <w:color w:val="000000" w:themeColor="text1"/>
                <w:szCs w:val="20"/>
              </w:rPr>
            </w:pPr>
          </w:p>
        </w:tc>
        <w:tc>
          <w:tcPr>
            <w:tcW w:w="660" w:type="pct"/>
            <w:tcBorders>
              <w:top w:val="single" w:sz="4" w:space="0" w:color="auto"/>
              <w:bottom w:val="single" w:sz="4" w:space="0" w:color="auto"/>
              <w:right w:val="nil"/>
            </w:tcBorders>
            <w:vAlign w:val="center"/>
          </w:tcPr>
          <w:p w14:paraId="683E4CF5" w14:textId="77777777" w:rsidR="00433801" w:rsidRPr="00DB4781" w:rsidRDefault="00433801" w:rsidP="00433801">
            <w:pPr>
              <w:suppressAutoHyphens/>
              <w:ind w:right="11"/>
              <w:jc w:val="right"/>
              <w:rPr>
                <w:rFonts w:asciiTheme="minorHAnsi" w:hAnsiTheme="minorHAnsi" w:cstheme="minorHAnsi"/>
                <w:color w:val="000000" w:themeColor="text1"/>
                <w:szCs w:val="20"/>
              </w:rPr>
            </w:pPr>
          </w:p>
        </w:tc>
      </w:tr>
      <w:tr w:rsidR="00433801" w:rsidRPr="00DB4781" w14:paraId="1AA2E87C" w14:textId="77777777" w:rsidTr="00AF6B9C">
        <w:trPr>
          <w:cantSplit/>
          <w:tblHeader/>
        </w:trPr>
        <w:tc>
          <w:tcPr>
            <w:tcW w:w="2427" w:type="pct"/>
            <w:tcBorders>
              <w:top w:val="single" w:sz="4" w:space="0" w:color="auto"/>
              <w:left w:val="nil"/>
              <w:right w:val="nil"/>
            </w:tcBorders>
            <w:vAlign w:val="center"/>
          </w:tcPr>
          <w:p w14:paraId="488AFFC0" w14:textId="5E38746F"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color w:val="000000" w:themeColor="text1"/>
                <w:szCs w:val="20"/>
              </w:rPr>
              <w:t>Грошові кошти та їх еквіваленти</w:t>
            </w:r>
          </w:p>
        </w:tc>
        <w:tc>
          <w:tcPr>
            <w:tcW w:w="662" w:type="pct"/>
            <w:tcBorders>
              <w:top w:val="single" w:sz="4" w:space="0" w:color="auto"/>
              <w:left w:val="nil"/>
              <w:right w:val="nil"/>
            </w:tcBorders>
            <w:vAlign w:val="center"/>
          </w:tcPr>
          <w:p w14:paraId="1782515A" w14:textId="27809F81"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10 284 </w:t>
            </w:r>
          </w:p>
        </w:tc>
        <w:tc>
          <w:tcPr>
            <w:tcW w:w="662" w:type="pct"/>
            <w:tcBorders>
              <w:top w:val="single" w:sz="4" w:space="0" w:color="auto"/>
              <w:left w:val="nil"/>
              <w:right w:val="nil"/>
            </w:tcBorders>
            <w:vAlign w:val="center"/>
          </w:tcPr>
          <w:p w14:paraId="7D77B30C" w14:textId="53942006"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1 105 </w:t>
            </w:r>
          </w:p>
        </w:tc>
        <w:tc>
          <w:tcPr>
            <w:tcW w:w="589" w:type="pct"/>
            <w:tcBorders>
              <w:top w:val="single" w:sz="4" w:space="0" w:color="auto"/>
              <w:left w:val="nil"/>
            </w:tcBorders>
            <w:vAlign w:val="center"/>
          </w:tcPr>
          <w:p w14:paraId="741CCCE4" w14:textId="5584C576"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43 </w:t>
            </w:r>
          </w:p>
        </w:tc>
        <w:tc>
          <w:tcPr>
            <w:tcW w:w="660" w:type="pct"/>
            <w:tcBorders>
              <w:top w:val="single" w:sz="4" w:space="0" w:color="auto"/>
              <w:right w:val="nil"/>
            </w:tcBorders>
            <w:vAlign w:val="center"/>
          </w:tcPr>
          <w:p w14:paraId="0FED38A6" w14:textId="231F066E"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b/>
                <w:bCs/>
                <w:color w:val="000000" w:themeColor="text1"/>
                <w:szCs w:val="20"/>
              </w:rPr>
              <w:t xml:space="preserve">11 432 </w:t>
            </w:r>
          </w:p>
        </w:tc>
      </w:tr>
      <w:tr w:rsidR="00433801" w:rsidRPr="00DB4781" w14:paraId="1A8D7FB1" w14:textId="77777777" w:rsidTr="00AF6B9C">
        <w:trPr>
          <w:cantSplit/>
          <w:tblHeader/>
        </w:trPr>
        <w:tc>
          <w:tcPr>
            <w:tcW w:w="2427" w:type="pct"/>
            <w:tcBorders>
              <w:top w:val="nil"/>
              <w:left w:val="nil"/>
              <w:bottom w:val="single" w:sz="4" w:space="0" w:color="auto"/>
              <w:right w:val="nil"/>
            </w:tcBorders>
            <w:vAlign w:val="center"/>
          </w:tcPr>
          <w:p w14:paraId="38E493A3" w14:textId="5193F33E"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color w:val="000000" w:themeColor="text1"/>
                <w:szCs w:val="20"/>
              </w:rPr>
              <w:t>Торгівельна дебіторська заборгованість</w:t>
            </w:r>
          </w:p>
        </w:tc>
        <w:tc>
          <w:tcPr>
            <w:tcW w:w="662" w:type="pct"/>
            <w:tcBorders>
              <w:top w:val="nil"/>
              <w:left w:val="nil"/>
              <w:bottom w:val="single" w:sz="4" w:space="0" w:color="auto"/>
              <w:right w:val="nil"/>
            </w:tcBorders>
            <w:vAlign w:val="center"/>
          </w:tcPr>
          <w:p w14:paraId="3400A5D0" w14:textId="3E6A2423"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1 396 378 </w:t>
            </w:r>
          </w:p>
        </w:tc>
        <w:tc>
          <w:tcPr>
            <w:tcW w:w="662" w:type="pct"/>
            <w:tcBorders>
              <w:top w:val="nil"/>
              <w:left w:val="nil"/>
              <w:bottom w:val="single" w:sz="4" w:space="0" w:color="auto"/>
              <w:right w:val="nil"/>
            </w:tcBorders>
            <w:vAlign w:val="center"/>
          </w:tcPr>
          <w:p w14:paraId="17E5EEFD" w14:textId="5812AD92"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22 399 </w:t>
            </w:r>
          </w:p>
        </w:tc>
        <w:tc>
          <w:tcPr>
            <w:tcW w:w="589" w:type="pct"/>
            <w:tcBorders>
              <w:top w:val="nil"/>
              <w:left w:val="nil"/>
              <w:bottom w:val="single" w:sz="4" w:space="0" w:color="auto"/>
            </w:tcBorders>
            <w:vAlign w:val="center"/>
          </w:tcPr>
          <w:p w14:paraId="6B0E0BE4" w14:textId="22D92441"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color w:val="000000" w:themeColor="text1"/>
                <w:szCs w:val="20"/>
              </w:rPr>
              <w:t xml:space="preserve">1 811 </w:t>
            </w:r>
          </w:p>
        </w:tc>
        <w:tc>
          <w:tcPr>
            <w:tcW w:w="660" w:type="pct"/>
            <w:tcBorders>
              <w:top w:val="nil"/>
              <w:bottom w:val="single" w:sz="4" w:space="0" w:color="auto"/>
              <w:right w:val="nil"/>
            </w:tcBorders>
            <w:vAlign w:val="center"/>
          </w:tcPr>
          <w:p w14:paraId="14EB1B92" w14:textId="542D5A0E" w:rsidR="00433801" w:rsidRPr="00DB4781" w:rsidRDefault="00433801" w:rsidP="00433801">
            <w:pPr>
              <w:suppressAutoHyphens/>
              <w:ind w:right="11"/>
              <w:jc w:val="right"/>
              <w:rPr>
                <w:rFonts w:asciiTheme="minorHAnsi" w:hAnsiTheme="minorHAnsi" w:cstheme="minorHAnsi"/>
                <w:color w:val="000000" w:themeColor="text1"/>
                <w:szCs w:val="20"/>
              </w:rPr>
            </w:pPr>
            <w:r w:rsidRPr="00DB4781">
              <w:rPr>
                <w:b/>
                <w:bCs/>
                <w:color w:val="000000" w:themeColor="text1"/>
                <w:szCs w:val="20"/>
              </w:rPr>
              <w:t xml:space="preserve">1 420 588 </w:t>
            </w:r>
          </w:p>
        </w:tc>
      </w:tr>
      <w:tr w:rsidR="00433801" w:rsidRPr="00DB4781" w14:paraId="3B64FBEF" w14:textId="77777777" w:rsidTr="00AF6B9C">
        <w:trPr>
          <w:cantSplit/>
          <w:tblHeader/>
        </w:trPr>
        <w:tc>
          <w:tcPr>
            <w:tcW w:w="2427" w:type="pct"/>
            <w:tcBorders>
              <w:top w:val="single" w:sz="4" w:space="0" w:color="auto"/>
              <w:left w:val="nil"/>
              <w:right w:val="nil"/>
            </w:tcBorders>
            <w:vAlign w:val="center"/>
          </w:tcPr>
          <w:p w14:paraId="7983245F" w14:textId="5435F82B"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b/>
                <w:bCs/>
                <w:color w:val="000000" w:themeColor="text1"/>
                <w:szCs w:val="20"/>
              </w:rPr>
              <w:t>Разом активів</w:t>
            </w:r>
          </w:p>
        </w:tc>
        <w:tc>
          <w:tcPr>
            <w:tcW w:w="662" w:type="pct"/>
            <w:tcBorders>
              <w:top w:val="single" w:sz="4" w:space="0" w:color="auto"/>
              <w:left w:val="nil"/>
              <w:right w:val="nil"/>
            </w:tcBorders>
            <w:vAlign w:val="center"/>
          </w:tcPr>
          <w:p w14:paraId="371742A1" w14:textId="60A36940"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 xml:space="preserve">1 406 662 </w:t>
            </w:r>
          </w:p>
        </w:tc>
        <w:tc>
          <w:tcPr>
            <w:tcW w:w="662" w:type="pct"/>
            <w:tcBorders>
              <w:top w:val="single" w:sz="4" w:space="0" w:color="auto"/>
              <w:left w:val="nil"/>
              <w:right w:val="nil"/>
            </w:tcBorders>
            <w:vAlign w:val="center"/>
          </w:tcPr>
          <w:p w14:paraId="1263E68B" w14:textId="260B9CC9"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 xml:space="preserve">23 504 </w:t>
            </w:r>
          </w:p>
        </w:tc>
        <w:tc>
          <w:tcPr>
            <w:tcW w:w="589" w:type="pct"/>
            <w:tcBorders>
              <w:top w:val="single" w:sz="4" w:space="0" w:color="auto"/>
              <w:left w:val="nil"/>
            </w:tcBorders>
            <w:vAlign w:val="center"/>
          </w:tcPr>
          <w:p w14:paraId="1D9023FC" w14:textId="2A741C30"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 xml:space="preserve">1 854 </w:t>
            </w:r>
          </w:p>
        </w:tc>
        <w:tc>
          <w:tcPr>
            <w:tcW w:w="660" w:type="pct"/>
            <w:tcBorders>
              <w:top w:val="single" w:sz="4" w:space="0" w:color="auto"/>
              <w:right w:val="nil"/>
            </w:tcBorders>
            <w:vAlign w:val="center"/>
          </w:tcPr>
          <w:p w14:paraId="3DC14AF2" w14:textId="5CBAB1C2"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 xml:space="preserve">1 432 020 </w:t>
            </w:r>
          </w:p>
        </w:tc>
      </w:tr>
    </w:tbl>
    <w:p w14:paraId="4CD8A073" w14:textId="77777777" w:rsidR="00433801" w:rsidRDefault="00433801">
      <w:r>
        <w:br w:type="page"/>
      </w:r>
    </w:p>
    <w:tbl>
      <w:tblPr>
        <w:tblW w:w="5000" w:type="pct"/>
        <w:tblLook w:val="04A0" w:firstRow="1" w:lastRow="0" w:firstColumn="1" w:lastColumn="0" w:noHBand="0" w:noVBand="1"/>
      </w:tblPr>
      <w:tblGrid>
        <w:gridCol w:w="4678"/>
        <w:gridCol w:w="1276"/>
        <w:gridCol w:w="1276"/>
        <w:gridCol w:w="1135"/>
        <w:gridCol w:w="1272"/>
      </w:tblGrid>
      <w:tr w:rsidR="00433801" w:rsidRPr="00DB4781" w14:paraId="3A100D88" w14:textId="77777777" w:rsidTr="00433801">
        <w:trPr>
          <w:cantSplit/>
          <w:trHeight w:val="47"/>
          <w:tblHeader/>
        </w:trPr>
        <w:tc>
          <w:tcPr>
            <w:tcW w:w="2427" w:type="pct"/>
            <w:tcBorders>
              <w:top w:val="single" w:sz="4" w:space="0" w:color="auto"/>
              <w:left w:val="nil"/>
              <w:bottom w:val="single" w:sz="4" w:space="0" w:color="auto"/>
              <w:right w:val="nil"/>
            </w:tcBorders>
            <w:vAlign w:val="center"/>
          </w:tcPr>
          <w:p w14:paraId="3E2BCC3F" w14:textId="516C8FE2" w:rsidR="00433801" w:rsidRPr="00DB4781" w:rsidRDefault="00433801" w:rsidP="00433801">
            <w:pPr>
              <w:jc w:val="left"/>
              <w:rPr>
                <w:rFonts w:asciiTheme="minorHAnsi" w:hAnsiTheme="minorHAnsi" w:cstheme="minorHAnsi"/>
                <w:b/>
                <w:bCs/>
                <w:color w:val="000000" w:themeColor="text1"/>
                <w:szCs w:val="20"/>
              </w:rPr>
            </w:pPr>
          </w:p>
        </w:tc>
        <w:tc>
          <w:tcPr>
            <w:tcW w:w="662" w:type="pct"/>
            <w:tcBorders>
              <w:top w:val="single" w:sz="4" w:space="0" w:color="auto"/>
              <w:left w:val="nil"/>
              <w:bottom w:val="single" w:sz="4" w:space="0" w:color="auto"/>
              <w:right w:val="nil"/>
            </w:tcBorders>
            <w:vAlign w:val="center"/>
          </w:tcPr>
          <w:p w14:paraId="31474F93" w14:textId="77777777" w:rsidR="00433801" w:rsidRPr="00DB4781" w:rsidRDefault="00433801" w:rsidP="00433801">
            <w:pPr>
              <w:suppressAutoHyphens/>
              <w:ind w:right="11"/>
              <w:jc w:val="right"/>
              <w:rPr>
                <w:rFonts w:asciiTheme="minorHAnsi" w:hAnsiTheme="minorHAnsi" w:cstheme="minorHAnsi"/>
                <w:b/>
                <w:bCs/>
                <w:color w:val="000000" w:themeColor="text1"/>
                <w:szCs w:val="20"/>
              </w:rPr>
            </w:pPr>
          </w:p>
        </w:tc>
        <w:tc>
          <w:tcPr>
            <w:tcW w:w="662" w:type="pct"/>
            <w:tcBorders>
              <w:top w:val="single" w:sz="4" w:space="0" w:color="auto"/>
              <w:left w:val="nil"/>
              <w:bottom w:val="single" w:sz="4" w:space="0" w:color="auto"/>
              <w:right w:val="nil"/>
            </w:tcBorders>
            <w:vAlign w:val="center"/>
          </w:tcPr>
          <w:p w14:paraId="17C48735" w14:textId="77777777" w:rsidR="00433801" w:rsidRPr="00DB4781" w:rsidRDefault="00433801" w:rsidP="00433801">
            <w:pPr>
              <w:suppressAutoHyphens/>
              <w:ind w:right="11"/>
              <w:jc w:val="right"/>
              <w:rPr>
                <w:rFonts w:asciiTheme="minorHAnsi" w:hAnsiTheme="minorHAnsi" w:cstheme="minorHAnsi"/>
                <w:b/>
                <w:bCs/>
                <w:color w:val="000000" w:themeColor="text1"/>
                <w:szCs w:val="20"/>
              </w:rPr>
            </w:pPr>
          </w:p>
        </w:tc>
        <w:tc>
          <w:tcPr>
            <w:tcW w:w="589" w:type="pct"/>
            <w:tcBorders>
              <w:top w:val="single" w:sz="4" w:space="0" w:color="auto"/>
              <w:left w:val="nil"/>
              <w:bottom w:val="single" w:sz="4" w:space="0" w:color="auto"/>
            </w:tcBorders>
            <w:vAlign w:val="center"/>
          </w:tcPr>
          <w:p w14:paraId="6983B6B2" w14:textId="77777777" w:rsidR="00433801" w:rsidRPr="00DB4781" w:rsidRDefault="00433801" w:rsidP="00433801">
            <w:pPr>
              <w:suppressAutoHyphens/>
              <w:ind w:right="11"/>
              <w:jc w:val="right"/>
              <w:rPr>
                <w:rFonts w:asciiTheme="minorHAnsi" w:hAnsiTheme="minorHAnsi" w:cstheme="minorHAnsi"/>
                <w:b/>
                <w:bCs/>
                <w:color w:val="000000" w:themeColor="text1"/>
                <w:szCs w:val="20"/>
              </w:rPr>
            </w:pPr>
          </w:p>
        </w:tc>
        <w:tc>
          <w:tcPr>
            <w:tcW w:w="660" w:type="pct"/>
            <w:tcBorders>
              <w:top w:val="single" w:sz="4" w:space="0" w:color="auto"/>
              <w:bottom w:val="single" w:sz="4" w:space="0" w:color="auto"/>
              <w:right w:val="nil"/>
            </w:tcBorders>
            <w:vAlign w:val="center"/>
          </w:tcPr>
          <w:p w14:paraId="7D04BE93" w14:textId="77777777" w:rsidR="00433801" w:rsidRPr="00DB4781" w:rsidRDefault="00433801" w:rsidP="00433801">
            <w:pPr>
              <w:suppressAutoHyphens/>
              <w:ind w:right="11"/>
              <w:jc w:val="right"/>
              <w:rPr>
                <w:rFonts w:asciiTheme="minorHAnsi" w:hAnsiTheme="minorHAnsi" w:cstheme="minorHAnsi"/>
                <w:b/>
                <w:bCs/>
                <w:color w:val="000000" w:themeColor="text1"/>
                <w:szCs w:val="20"/>
              </w:rPr>
            </w:pPr>
          </w:p>
        </w:tc>
      </w:tr>
      <w:tr w:rsidR="00433801" w:rsidRPr="00DB4781" w14:paraId="1B27AE2C" w14:textId="77777777" w:rsidTr="00433801">
        <w:trPr>
          <w:cantSplit/>
          <w:trHeight w:val="47"/>
          <w:tblHeader/>
        </w:trPr>
        <w:tc>
          <w:tcPr>
            <w:tcW w:w="2427" w:type="pct"/>
            <w:tcBorders>
              <w:top w:val="single" w:sz="4" w:space="0" w:color="auto"/>
              <w:left w:val="nil"/>
              <w:bottom w:val="single" w:sz="4" w:space="0" w:color="auto"/>
              <w:right w:val="nil"/>
            </w:tcBorders>
            <w:vAlign w:val="center"/>
          </w:tcPr>
          <w:p w14:paraId="6DAFAAB5" w14:textId="1E654BEF" w:rsidR="00433801" w:rsidRPr="00DB4781" w:rsidRDefault="00433801" w:rsidP="00433801">
            <w:pPr>
              <w:jc w:val="lef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27.8 Активи та зобов'язання за балансовою вартістю</w:t>
            </w:r>
          </w:p>
        </w:tc>
        <w:tc>
          <w:tcPr>
            <w:tcW w:w="662" w:type="pct"/>
            <w:tcBorders>
              <w:top w:val="single" w:sz="4" w:space="0" w:color="auto"/>
              <w:left w:val="nil"/>
              <w:bottom w:val="single" w:sz="4" w:space="0" w:color="auto"/>
              <w:right w:val="nil"/>
            </w:tcBorders>
            <w:vAlign w:val="center"/>
          </w:tcPr>
          <w:p w14:paraId="0734D260" w14:textId="2F1EC673" w:rsidR="00433801" w:rsidRPr="00DB4781" w:rsidRDefault="00433801" w:rsidP="00433801">
            <w:pPr>
              <w:suppressAutoHyphens/>
              <w:ind w:right="11"/>
              <w:jc w:val="righ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Гривня (UAH)</w:t>
            </w:r>
          </w:p>
        </w:tc>
        <w:tc>
          <w:tcPr>
            <w:tcW w:w="662" w:type="pct"/>
            <w:tcBorders>
              <w:top w:val="single" w:sz="4" w:space="0" w:color="auto"/>
              <w:left w:val="nil"/>
              <w:bottom w:val="single" w:sz="4" w:space="0" w:color="auto"/>
              <w:right w:val="nil"/>
            </w:tcBorders>
            <w:vAlign w:val="center"/>
          </w:tcPr>
          <w:p w14:paraId="107760A7" w14:textId="4AAFED36" w:rsidR="00433801" w:rsidRPr="00DB4781" w:rsidRDefault="00433801" w:rsidP="00433801">
            <w:pPr>
              <w:suppressAutoHyphens/>
              <w:ind w:right="11"/>
              <w:jc w:val="right"/>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t>Дол</w:t>
            </w:r>
            <w:r w:rsidRPr="000E6FA8">
              <w:rPr>
                <w:rFonts w:asciiTheme="minorHAnsi" w:hAnsiTheme="minorHAnsi" w:cstheme="minorHAnsi"/>
                <w:b/>
                <w:bCs/>
                <w:color w:val="000000" w:themeColor="text1"/>
                <w:szCs w:val="20"/>
              </w:rPr>
              <w:t>ар США (USD)</w:t>
            </w:r>
          </w:p>
        </w:tc>
        <w:tc>
          <w:tcPr>
            <w:tcW w:w="589" w:type="pct"/>
            <w:tcBorders>
              <w:top w:val="single" w:sz="4" w:space="0" w:color="auto"/>
              <w:left w:val="nil"/>
              <w:bottom w:val="single" w:sz="4" w:space="0" w:color="auto"/>
            </w:tcBorders>
            <w:vAlign w:val="center"/>
          </w:tcPr>
          <w:p w14:paraId="4EC3ADD9" w14:textId="5A2C1CBD" w:rsidR="00433801" w:rsidRPr="00DB4781" w:rsidRDefault="00433801" w:rsidP="00433801">
            <w:pPr>
              <w:suppressAutoHyphens/>
              <w:ind w:right="11"/>
              <w:jc w:val="righ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Євро (EUR)</w:t>
            </w:r>
          </w:p>
        </w:tc>
        <w:tc>
          <w:tcPr>
            <w:tcW w:w="660" w:type="pct"/>
            <w:tcBorders>
              <w:top w:val="single" w:sz="4" w:space="0" w:color="auto"/>
              <w:bottom w:val="single" w:sz="4" w:space="0" w:color="auto"/>
              <w:right w:val="nil"/>
            </w:tcBorders>
            <w:vAlign w:val="center"/>
          </w:tcPr>
          <w:p w14:paraId="43F14D1A" w14:textId="69575C9E" w:rsidR="00433801" w:rsidRPr="00DB4781" w:rsidRDefault="00433801" w:rsidP="00433801">
            <w:pPr>
              <w:suppressAutoHyphens/>
              <w:ind w:right="11"/>
              <w:jc w:val="right"/>
              <w:rPr>
                <w:rFonts w:asciiTheme="minorHAnsi" w:hAnsiTheme="minorHAnsi" w:cstheme="minorHAnsi"/>
                <w:b/>
                <w:bCs/>
                <w:color w:val="000000" w:themeColor="text1"/>
                <w:szCs w:val="20"/>
              </w:rPr>
            </w:pPr>
            <w:r w:rsidRPr="000E6FA8">
              <w:rPr>
                <w:rFonts w:asciiTheme="minorHAnsi" w:hAnsiTheme="minorHAnsi" w:cstheme="minorHAnsi"/>
                <w:b/>
                <w:bCs/>
                <w:color w:val="000000" w:themeColor="text1"/>
                <w:szCs w:val="20"/>
              </w:rPr>
              <w:t>Разом</w:t>
            </w:r>
          </w:p>
        </w:tc>
      </w:tr>
      <w:tr w:rsidR="00433801" w:rsidRPr="00DB4781" w14:paraId="4F423098" w14:textId="77777777" w:rsidTr="00433801">
        <w:trPr>
          <w:cantSplit/>
          <w:tblHeader/>
        </w:trPr>
        <w:tc>
          <w:tcPr>
            <w:tcW w:w="2427" w:type="pct"/>
            <w:tcBorders>
              <w:top w:val="single" w:sz="4" w:space="0" w:color="auto"/>
              <w:left w:val="nil"/>
              <w:right w:val="nil"/>
            </w:tcBorders>
            <w:vAlign w:val="center"/>
          </w:tcPr>
          <w:p w14:paraId="2F2BE01A" w14:textId="3E581C4A"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color w:val="000000" w:themeColor="text1"/>
                <w:szCs w:val="20"/>
              </w:rPr>
              <w:t>Короткострокові кредити</w:t>
            </w:r>
          </w:p>
        </w:tc>
        <w:tc>
          <w:tcPr>
            <w:tcW w:w="662" w:type="pct"/>
            <w:tcBorders>
              <w:top w:val="single" w:sz="4" w:space="0" w:color="auto"/>
              <w:left w:val="nil"/>
              <w:right w:val="nil"/>
            </w:tcBorders>
            <w:vAlign w:val="center"/>
          </w:tcPr>
          <w:p w14:paraId="4141202F" w14:textId="6143500E"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(532 692)</w:t>
            </w:r>
          </w:p>
        </w:tc>
        <w:tc>
          <w:tcPr>
            <w:tcW w:w="662" w:type="pct"/>
            <w:tcBorders>
              <w:top w:val="single" w:sz="4" w:space="0" w:color="auto"/>
              <w:left w:val="nil"/>
              <w:right w:val="nil"/>
            </w:tcBorders>
            <w:vAlign w:val="center"/>
          </w:tcPr>
          <w:p w14:paraId="7A7C83A3" w14:textId="683786F9"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 xml:space="preserve">-  </w:t>
            </w:r>
          </w:p>
        </w:tc>
        <w:tc>
          <w:tcPr>
            <w:tcW w:w="589" w:type="pct"/>
            <w:tcBorders>
              <w:top w:val="single" w:sz="4" w:space="0" w:color="auto"/>
              <w:left w:val="nil"/>
            </w:tcBorders>
            <w:vAlign w:val="center"/>
          </w:tcPr>
          <w:p w14:paraId="15D2F8E2" w14:textId="3E077FC2"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 xml:space="preserve">-  </w:t>
            </w:r>
          </w:p>
        </w:tc>
        <w:tc>
          <w:tcPr>
            <w:tcW w:w="660" w:type="pct"/>
            <w:tcBorders>
              <w:top w:val="single" w:sz="4" w:space="0" w:color="auto"/>
              <w:right w:val="nil"/>
            </w:tcBorders>
            <w:vAlign w:val="center"/>
          </w:tcPr>
          <w:p w14:paraId="59A2A288" w14:textId="31041C76"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(532 692)</w:t>
            </w:r>
          </w:p>
        </w:tc>
      </w:tr>
      <w:tr w:rsidR="00433801" w:rsidRPr="00DB4781" w14:paraId="7B32DA51" w14:textId="77777777" w:rsidTr="00AF6B9C">
        <w:trPr>
          <w:cantSplit/>
          <w:tblHeader/>
        </w:trPr>
        <w:tc>
          <w:tcPr>
            <w:tcW w:w="2427" w:type="pct"/>
            <w:tcBorders>
              <w:top w:val="nil"/>
              <w:left w:val="nil"/>
              <w:right w:val="nil"/>
            </w:tcBorders>
            <w:vAlign w:val="center"/>
          </w:tcPr>
          <w:p w14:paraId="7434E309" w14:textId="393C609A"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color w:val="000000" w:themeColor="text1"/>
                <w:szCs w:val="20"/>
              </w:rPr>
              <w:t>Торгівельна кредиторська заборгованість</w:t>
            </w:r>
          </w:p>
        </w:tc>
        <w:tc>
          <w:tcPr>
            <w:tcW w:w="662" w:type="pct"/>
            <w:tcBorders>
              <w:top w:val="nil"/>
              <w:left w:val="nil"/>
              <w:right w:val="nil"/>
            </w:tcBorders>
            <w:vAlign w:val="center"/>
          </w:tcPr>
          <w:p w14:paraId="2BF6BF2A" w14:textId="3067519E"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(37 432)</w:t>
            </w:r>
          </w:p>
        </w:tc>
        <w:tc>
          <w:tcPr>
            <w:tcW w:w="662" w:type="pct"/>
            <w:tcBorders>
              <w:top w:val="nil"/>
              <w:left w:val="nil"/>
              <w:right w:val="nil"/>
            </w:tcBorders>
            <w:vAlign w:val="center"/>
          </w:tcPr>
          <w:p w14:paraId="34108181" w14:textId="11A42493"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(22 066)</w:t>
            </w:r>
          </w:p>
        </w:tc>
        <w:tc>
          <w:tcPr>
            <w:tcW w:w="589" w:type="pct"/>
            <w:tcBorders>
              <w:top w:val="nil"/>
              <w:left w:val="nil"/>
            </w:tcBorders>
            <w:vAlign w:val="center"/>
          </w:tcPr>
          <w:p w14:paraId="78450422" w14:textId="062F3922"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(48 189)</w:t>
            </w:r>
          </w:p>
        </w:tc>
        <w:tc>
          <w:tcPr>
            <w:tcW w:w="660" w:type="pct"/>
            <w:tcBorders>
              <w:top w:val="nil"/>
              <w:right w:val="nil"/>
            </w:tcBorders>
            <w:vAlign w:val="center"/>
          </w:tcPr>
          <w:p w14:paraId="0ABC7721" w14:textId="26CA8FD9"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(107 687)</w:t>
            </w:r>
          </w:p>
        </w:tc>
      </w:tr>
      <w:tr w:rsidR="00433801" w:rsidRPr="00DB4781" w14:paraId="12E98719" w14:textId="77777777" w:rsidTr="00AF6B9C">
        <w:trPr>
          <w:cantSplit/>
          <w:tblHeader/>
        </w:trPr>
        <w:tc>
          <w:tcPr>
            <w:tcW w:w="2427" w:type="pct"/>
            <w:tcBorders>
              <w:top w:val="nil"/>
              <w:left w:val="nil"/>
              <w:bottom w:val="single" w:sz="4" w:space="0" w:color="auto"/>
              <w:right w:val="nil"/>
            </w:tcBorders>
            <w:vAlign w:val="center"/>
          </w:tcPr>
          <w:p w14:paraId="5BEAB76E" w14:textId="00E8E412"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color w:val="000000" w:themeColor="text1"/>
                <w:szCs w:val="20"/>
              </w:rPr>
              <w:t>Інші зобов'язання</w:t>
            </w:r>
          </w:p>
        </w:tc>
        <w:tc>
          <w:tcPr>
            <w:tcW w:w="662" w:type="pct"/>
            <w:tcBorders>
              <w:top w:val="nil"/>
              <w:left w:val="nil"/>
              <w:bottom w:val="single" w:sz="4" w:space="0" w:color="auto"/>
              <w:right w:val="nil"/>
            </w:tcBorders>
            <w:vAlign w:val="center"/>
          </w:tcPr>
          <w:p w14:paraId="568BE315" w14:textId="38791DB0"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(815 677)</w:t>
            </w:r>
          </w:p>
        </w:tc>
        <w:tc>
          <w:tcPr>
            <w:tcW w:w="662" w:type="pct"/>
            <w:tcBorders>
              <w:top w:val="nil"/>
              <w:left w:val="nil"/>
              <w:bottom w:val="single" w:sz="4" w:space="0" w:color="auto"/>
              <w:right w:val="nil"/>
            </w:tcBorders>
            <w:vAlign w:val="center"/>
          </w:tcPr>
          <w:p w14:paraId="4F937A97" w14:textId="29AF861A"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 xml:space="preserve">-  </w:t>
            </w:r>
          </w:p>
        </w:tc>
        <w:tc>
          <w:tcPr>
            <w:tcW w:w="589" w:type="pct"/>
            <w:tcBorders>
              <w:top w:val="nil"/>
              <w:left w:val="nil"/>
              <w:bottom w:val="single" w:sz="4" w:space="0" w:color="auto"/>
            </w:tcBorders>
            <w:vAlign w:val="center"/>
          </w:tcPr>
          <w:p w14:paraId="67D2C427" w14:textId="37175D43"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color w:val="000000" w:themeColor="text1"/>
                <w:szCs w:val="20"/>
              </w:rPr>
              <w:t xml:space="preserve">-  </w:t>
            </w:r>
          </w:p>
        </w:tc>
        <w:tc>
          <w:tcPr>
            <w:tcW w:w="660" w:type="pct"/>
            <w:tcBorders>
              <w:top w:val="nil"/>
              <w:bottom w:val="single" w:sz="4" w:space="0" w:color="auto"/>
              <w:right w:val="nil"/>
            </w:tcBorders>
            <w:vAlign w:val="center"/>
          </w:tcPr>
          <w:p w14:paraId="1BBBE915" w14:textId="5C03B704"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(815 677)</w:t>
            </w:r>
          </w:p>
        </w:tc>
      </w:tr>
      <w:tr w:rsidR="00433801" w:rsidRPr="00DB4781" w14:paraId="5587A660" w14:textId="77777777" w:rsidTr="00AF6B9C">
        <w:trPr>
          <w:cantSplit/>
          <w:tblHeader/>
        </w:trPr>
        <w:tc>
          <w:tcPr>
            <w:tcW w:w="2427" w:type="pct"/>
            <w:tcBorders>
              <w:top w:val="single" w:sz="4" w:space="0" w:color="auto"/>
              <w:left w:val="nil"/>
              <w:bottom w:val="single" w:sz="4" w:space="0" w:color="auto"/>
              <w:right w:val="nil"/>
            </w:tcBorders>
            <w:vAlign w:val="center"/>
          </w:tcPr>
          <w:p w14:paraId="4F30D372" w14:textId="0157A1AF"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b/>
                <w:bCs/>
                <w:color w:val="000000" w:themeColor="text1"/>
                <w:szCs w:val="20"/>
              </w:rPr>
              <w:t>Разом зобов'язань</w:t>
            </w:r>
          </w:p>
        </w:tc>
        <w:tc>
          <w:tcPr>
            <w:tcW w:w="662" w:type="pct"/>
            <w:tcBorders>
              <w:top w:val="single" w:sz="4" w:space="0" w:color="auto"/>
              <w:left w:val="nil"/>
              <w:bottom w:val="single" w:sz="4" w:space="0" w:color="auto"/>
              <w:right w:val="nil"/>
            </w:tcBorders>
            <w:vAlign w:val="center"/>
          </w:tcPr>
          <w:p w14:paraId="1F2C8D0A" w14:textId="6703EE04"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(1 385 801)</w:t>
            </w:r>
          </w:p>
        </w:tc>
        <w:tc>
          <w:tcPr>
            <w:tcW w:w="662" w:type="pct"/>
            <w:tcBorders>
              <w:top w:val="single" w:sz="4" w:space="0" w:color="auto"/>
              <w:left w:val="nil"/>
              <w:bottom w:val="single" w:sz="4" w:space="0" w:color="auto"/>
              <w:right w:val="nil"/>
            </w:tcBorders>
            <w:vAlign w:val="center"/>
          </w:tcPr>
          <w:p w14:paraId="0B2B7D32" w14:textId="484FDCA0"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(22 066)</w:t>
            </w:r>
          </w:p>
        </w:tc>
        <w:tc>
          <w:tcPr>
            <w:tcW w:w="589" w:type="pct"/>
            <w:tcBorders>
              <w:top w:val="single" w:sz="4" w:space="0" w:color="auto"/>
              <w:left w:val="nil"/>
              <w:bottom w:val="single" w:sz="4" w:space="0" w:color="auto"/>
            </w:tcBorders>
            <w:vAlign w:val="center"/>
          </w:tcPr>
          <w:p w14:paraId="1E6EA25C" w14:textId="4E3541B7"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(48 189)</w:t>
            </w:r>
          </w:p>
        </w:tc>
        <w:tc>
          <w:tcPr>
            <w:tcW w:w="660" w:type="pct"/>
            <w:tcBorders>
              <w:top w:val="single" w:sz="4" w:space="0" w:color="auto"/>
              <w:bottom w:val="single" w:sz="4" w:space="0" w:color="auto"/>
              <w:right w:val="nil"/>
            </w:tcBorders>
            <w:vAlign w:val="center"/>
          </w:tcPr>
          <w:p w14:paraId="155769EF" w14:textId="17E0A87F"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(1 456 056)</w:t>
            </w:r>
          </w:p>
        </w:tc>
      </w:tr>
      <w:tr w:rsidR="00433801" w:rsidRPr="00DB4781" w14:paraId="540C8FED" w14:textId="77777777" w:rsidTr="00AF6B9C">
        <w:trPr>
          <w:cantSplit/>
          <w:tblHeader/>
        </w:trPr>
        <w:tc>
          <w:tcPr>
            <w:tcW w:w="2427" w:type="pct"/>
            <w:tcBorders>
              <w:top w:val="nil"/>
              <w:left w:val="nil"/>
              <w:bottom w:val="single" w:sz="4" w:space="0" w:color="auto"/>
              <w:right w:val="nil"/>
            </w:tcBorders>
            <w:vAlign w:val="center"/>
          </w:tcPr>
          <w:p w14:paraId="656CC08D" w14:textId="78DE3A48" w:rsidR="00433801" w:rsidRPr="00DB4781" w:rsidRDefault="00433801" w:rsidP="00433801">
            <w:pPr>
              <w:jc w:val="left"/>
              <w:rPr>
                <w:rFonts w:asciiTheme="minorHAnsi" w:hAnsiTheme="minorHAnsi" w:cstheme="minorHAnsi"/>
                <w:b/>
                <w:bCs/>
                <w:color w:val="000000" w:themeColor="text1"/>
                <w:szCs w:val="20"/>
              </w:rPr>
            </w:pPr>
            <w:r w:rsidRPr="00DB4781">
              <w:rPr>
                <w:rFonts w:asciiTheme="minorHAnsi" w:hAnsiTheme="minorHAnsi" w:cstheme="minorHAnsi"/>
                <w:b/>
                <w:bCs/>
                <w:color w:val="000000" w:themeColor="text1"/>
                <w:szCs w:val="20"/>
              </w:rPr>
              <w:t>Загальна балансова вартість</w:t>
            </w:r>
          </w:p>
        </w:tc>
        <w:tc>
          <w:tcPr>
            <w:tcW w:w="662" w:type="pct"/>
            <w:tcBorders>
              <w:top w:val="nil"/>
              <w:left w:val="nil"/>
              <w:bottom w:val="single" w:sz="4" w:space="0" w:color="auto"/>
              <w:right w:val="nil"/>
            </w:tcBorders>
            <w:vAlign w:val="center"/>
          </w:tcPr>
          <w:p w14:paraId="1823CA20" w14:textId="6D5E5437"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 xml:space="preserve">20 861 </w:t>
            </w:r>
          </w:p>
        </w:tc>
        <w:tc>
          <w:tcPr>
            <w:tcW w:w="662" w:type="pct"/>
            <w:tcBorders>
              <w:top w:val="nil"/>
              <w:left w:val="nil"/>
              <w:bottom w:val="single" w:sz="4" w:space="0" w:color="auto"/>
              <w:right w:val="nil"/>
            </w:tcBorders>
            <w:vAlign w:val="center"/>
          </w:tcPr>
          <w:p w14:paraId="300DEC7E" w14:textId="375542F2"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 xml:space="preserve">1 438 </w:t>
            </w:r>
          </w:p>
        </w:tc>
        <w:tc>
          <w:tcPr>
            <w:tcW w:w="589" w:type="pct"/>
            <w:tcBorders>
              <w:top w:val="nil"/>
              <w:left w:val="nil"/>
              <w:bottom w:val="single" w:sz="4" w:space="0" w:color="auto"/>
            </w:tcBorders>
            <w:vAlign w:val="center"/>
          </w:tcPr>
          <w:p w14:paraId="21366076" w14:textId="682DD675"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(46 335)</w:t>
            </w:r>
          </w:p>
        </w:tc>
        <w:tc>
          <w:tcPr>
            <w:tcW w:w="660" w:type="pct"/>
            <w:tcBorders>
              <w:top w:val="nil"/>
              <w:bottom w:val="single" w:sz="4" w:space="0" w:color="auto"/>
              <w:right w:val="nil"/>
            </w:tcBorders>
            <w:vAlign w:val="center"/>
          </w:tcPr>
          <w:p w14:paraId="3E1F5BAB" w14:textId="520BA180" w:rsidR="00433801" w:rsidRPr="00DB4781" w:rsidRDefault="00433801" w:rsidP="00433801">
            <w:pPr>
              <w:suppressAutoHyphens/>
              <w:ind w:right="11"/>
              <w:jc w:val="right"/>
              <w:rPr>
                <w:rFonts w:asciiTheme="minorHAnsi" w:hAnsiTheme="minorHAnsi" w:cstheme="minorHAnsi"/>
                <w:b/>
                <w:bCs/>
                <w:iCs/>
                <w:color w:val="000000" w:themeColor="text1"/>
                <w:szCs w:val="20"/>
                <w:lang w:eastAsia="uk-UA"/>
              </w:rPr>
            </w:pPr>
            <w:r w:rsidRPr="00DB4781">
              <w:rPr>
                <w:b/>
                <w:bCs/>
                <w:color w:val="000000" w:themeColor="text1"/>
                <w:szCs w:val="20"/>
              </w:rPr>
              <w:t>(24 036)</w:t>
            </w:r>
          </w:p>
        </w:tc>
      </w:tr>
    </w:tbl>
    <w:p w14:paraId="1B2B7722" w14:textId="26CB5207" w:rsidR="000D2F36" w:rsidRPr="00DB0BDE" w:rsidRDefault="009A7C3F" w:rsidP="009A7C3F">
      <w:pPr>
        <w:pStyle w:val="af7"/>
        <w:spacing w:before="240"/>
        <w:rPr>
          <w:rFonts w:asciiTheme="minorHAnsi" w:hAnsiTheme="minorHAnsi" w:cstheme="minorHAnsi"/>
          <w:color w:val="000000" w:themeColor="text1"/>
          <w:szCs w:val="20"/>
        </w:rPr>
      </w:pPr>
      <w:r w:rsidRPr="00DB4781">
        <w:rPr>
          <w:rFonts w:asciiTheme="minorHAnsi" w:hAnsiTheme="minorHAnsi" w:cstheme="minorHAnsi"/>
          <w:color w:val="000000" w:themeColor="text1"/>
          <w:szCs w:val="20"/>
        </w:rPr>
        <w:t xml:space="preserve">У таблиці нижче розкривається інформація про чутливість прибутку (збиток) до оподаткування до обґрунтовано можливих змін у курсах обміну валют, які застосовувались на звітну дату, а умови, що всі інші змінні величини залишаться </w:t>
      </w:r>
      <w:r w:rsidRPr="00DB0BDE">
        <w:rPr>
          <w:rFonts w:asciiTheme="minorHAnsi" w:hAnsiTheme="minorHAnsi" w:cstheme="minorHAnsi"/>
          <w:color w:val="000000" w:themeColor="text1"/>
          <w:szCs w:val="20"/>
        </w:rPr>
        <w:t>сталими.</w:t>
      </w:r>
    </w:p>
    <w:p w14:paraId="6F18F22A" w14:textId="7F615240" w:rsidR="009A7C3F" w:rsidRPr="00DB0BDE" w:rsidRDefault="009A7C3F" w:rsidP="00F24CEE">
      <w:pPr>
        <w:pStyle w:val="af7"/>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Ризик розраховувався лише для монетарних залишків, деномінованих в іноземних валютах, а не у функціональній валюті Компанії.</w:t>
      </w:r>
    </w:p>
    <w:tbl>
      <w:tblPr>
        <w:tblW w:w="5000" w:type="pct"/>
        <w:tblLook w:val="04A0" w:firstRow="1" w:lastRow="0" w:firstColumn="1" w:lastColumn="0" w:noHBand="0" w:noVBand="1"/>
      </w:tblPr>
      <w:tblGrid>
        <w:gridCol w:w="5530"/>
        <w:gridCol w:w="2128"/>
        <w:gridCol w:w="1979"/>
      </w:tblGrid>
      <w:tr w:rsidR="008732F7" w:rsidRPr="00DB0BDE" w14:paraId="272ACB73" w14:textId="77777777" w:rsidTr="008732F7">
        <w:trPr>
          <w:cantSplit/>
          <w:tblHeader/>
        </w:trPr>
        <w:tc>
          <w:tcPr>
            <w:tcW w:w="2869" w:type="pct"/>
            <w:tcBorders>
              <w:top w:val="nil"/>
              <w:left w:val="nil"/>
              <w:bottom w:val="single" w:sz="4" w:space="0" w:color="auto"/>
              <w:right w:val="nil"/>
            </w:tcBorders>
            <w:vAlign w:val="center"/>
            <w:hideMark/>
          </w:tcPr>
          <w:p w14:paraId="5D647520" w14:textId="0648398C" w:rsidR="009A7C3F" w:rsidRPr="00DB0BDE" w:rsidRDefault="008732F7" w:rsidP="009A7C3F">
            <w:pPr>
              <w:jc w:val="left"/>
              <w:rPr>
                <w:rFonts w:asciiTheme="minorHAnsi" w:hAnsiTheme="minorHAnsi" w:cstheme="minorHAnsi"/>
                <w:b/>
                <w:bCs/>
                <w:color w:val="000000" w:themeColor="text1"/>
                <w:szCs w:val="20"/>
              </w:rPr>
            </w:pPr>
            <w:r w:rsidRPr="00DB0BDE">
              <w:rPr>
                <w:rFonts w:asciiTheme="minorHAnsi" w:hAnsiTheme="minorHAnsi" w:cstheme="minorHAnsi"/>
                <w:b/>
                <w:bCs/>
                <w:color w:val="000000" w:themeColor="text1"/>
                <w:szCs w:val="20"/>
              </w:rPr>
              <w:t>27</w:t>
            </w:r>
            <w:r w:rsidR="009A7C3F" w:rsidRPr="00DB0BDE">
              <w:rPr>
                <w:rFonts w:asciiTheme="minorHAnsi" w:hAnsiTheme="minorHAnsi" w:cstheme="minorHAnsi"/>
                <w:b/>
                <w:bCs/>
                <w:color w:val="000000" w:themeColor="text1"/>
                <w:szCs w:val="20"/>
              </w:rPr>
              <w:t xml:space="preserve">.9 </w:t>
            </w:r>
            <w:r w:rsidR="009A7C3F" w:rsidRPr="00DB0BDE">
              <w:rPr>
                <w:rFonts w:asciiTheme="minorHAnsi" w:hAnsiTheme="minorHAnsi" w:cstheme="minorHAnsi"/>
                <w:b/>
                <w:color w:val="000000" w:themeColor="text1"/>
                <w:szCs w:val="20"/>
              </w:rPr>
              <w:t>Інформація про чутливість прибутку (збиток) до оподаткування до обґрунтовано можливих змін у курсах обміну валют</w:t>
            </w:r>
          </w:p>
        </w:tc>
        <w:tc>
          <w:tcPr>
            <w:tcW w:w="1104" w:type="pct"/>
            <w:tcBorders>
              <w:top w:val="nil"/>
              <w:left w:val="nil"/>
              <w:bottom w:val="single" w:sz="4" w:space="0" w:color="auto"/>
              <w:right w:val="nil"/>
            </w:tcBorders>
            <w:vAlign w:val="center"/>
            <w:hideMark/>
          </w:tcPr>
          <w:p w14:paraId="71EE221E" w14:textId="3B6810A8" w:rsidR="009A7C3F" w:rsidRPr="00DB0BDE" w:rsidRDefault="004C61DA" w:rsidP="004C61DA">
            <w:pPr>
              <w:suppressAutoHyphens/>
              <w:ind w:right="11"/>
              <w:jc w:val="center"/>
              <w:rPr>
                <w:rFonts w:asciiTheme="minorHAnsi" w:hAnsiTheme="minorHAnsi" w:cstheme="minorHAnsi"/>
                <w:b/>
                <w:bCs/>
                <w:iCs/>
                <w:color w:val="000000" w:themeColor="text1"/>
                <w:szCs w:val="20"/>
                <w:lang w:eastAsia="uk-UA"/>
              </w:rPr>
            </w:pPr>
            <w:r w:rsidRPr="00DB0BDE">
              <w:rPr>
                <w:b/>
                <w:bCs/>
                <w:color w:val="000000" w:themeColor="text1"/>
                <w:szCs w:val="20"/>
              </w:rPr>
              <w:t xml:space="preserve">Збільшення / </w:t>
            </w:r>
            <w:r w:rsidR="009A7C3F" w:rsidRPr="00DB0BDE">
              <w:rPr>
                <w:b/>
                <w:bCs/>
                <w:color w:val="000000" w:themeColor="text1"/>
                <w:szCs w:val="20"/>
              </w:rPr>
              <w:t>Зменшення</w:t>
            </w:r>
          </w:p>
        </w:tc>
        <w:tc>
          <w:tcPr>
            <w:tcW w:w="1027" w:type="pct"/>
            <w:tcBorders>
              <w:top w:val="nil"/>
              <w:left w:val="nil"/>
              <w:bottom w:val="single" w:sz="4" w:space="0" w:color="auto"/>
              <w:right w:val="nil"/>
            </w:tcBorders>
            <w:vAlign w:val="center"/>
            <w:hideMark/>
          </w:tcPr>
          <w:p w14:paraId="579FBC67" w14:textId="58821674" w:rsidR="009A7C3F" w:rsidRPr="00DB0BDE" w:rsidRDefault="009A7C3F" w:rsidP="004C61DA">
            <w:pPr>
              <w:suppressAutoHyphens/>
              <w:ind w:right="11"/>
              <w:jc w:val="right"/>
              <w:rPr>
                <w:rFonts w:asciiTheme="minorHAnsi" w:hAnsiTheme="minorHAnsi" w:cstheme="minorHAnsi"/>
                <w:b/>
                <w:bCs/>
                <w:iCs/>
                <w:color w:val="000000" w:themeColor="text1"/>
                <w:szCs w:val="20"/>
                <w:lang w:eastAsia="uk-UA"/>
              </w:rPr>
            </w:pPr>
            <w:r w:rsidRPr="00DB0BDE">
              <w:rPr>
                <w:b/>
                <w:bCs/>
                <w:color w:val="000000" w:themeColor="text1"/>
                <w:szCs w:val="20"/>
              </w:rPr>
              <w:t>Вплив на прибуток до оподаткування</w:t>
            </w:r>
          </w:p>
        </w:tc>
      </w:tr>
      <w:tr w:rsidR="008732F7" w:rsidRPr="00DB0BDE" w14:paraId="2BDCBC29" w14:textId="77777777" w:rsidTr="008732F7">
        <w:trPr>
          <w:cantSplit/>
          <w:tblHeader/>
        </w:trPr>
        <w:tc>
          <w:tcPr>
            <w:tcW w:w="2869" w:type="pct"/>
            <w:tcBorders>
              <w:top w:val="single" w:sz="4" w:space="0" w:color="auto"/>
              <w:left w:val="nil"/>
              <w:bottom w:val="single" w:sz="4" w:space="0" w:color="auto"/>
              <w:right w:val="nil"/>
            </w:tcBorders>
            <w:vAlign w:val="center"/>
          </w:tcPr>
          <w:p w14:paraId="2FCBCC9A" w14:textId="25BE6146" w:rsidR="009A7C3F" w:rsidRPr="00DB0BDE" w:rsidRDefault="009A7C3F" w:rsidP="009A7C3F">
            <w:pPr>
              <w:jc w:val="left"/>
              <w:rPr>
                <w:rFonts w:asciiTheme="minorHAnsi" w:hAnsiTheme="minorHAnsi" w:cstheme="minorHAnsi"/>
                <w:b/>
                <w:bCs/>
                <w:color w:val="000000" w:themeColor="text1"/>
                <w:szCs w:val="20"/>
              </w:rPr>
            </w:pPr>
            <w:r w:rsidRPr="00DB0BDE">
              <w:rPr>
                <w:b/>
                <w:bCs/>
                <w:color w:val="000000" w:themeColor="text1"/>
                <w:szCs w:val="20"/>
              </w:rPr>
              <w:t>За рік, що закінчився 31.12.20</w:t>
            </w:r>
            <w:r w:rsidR="00DB0BDE" w:rsidRPr="00DB0BDE">
              <w:rPr>
                <w:b/>
                <w:bCs/>
                <w:color w:val="000000" w:themeColor="text1"/>
                <w:szCs w:val="20"/>
              </w:rPr>
              <w:t>20</w:t>
            </w:r>
          </w:p>
        </w:tc>
        <w:tc>
          <w:tcPr>
            <w:tcW w:w="1104" w:type="pct"/>
            <w:tcBorders>
              <w:top w:val="single" w:sz="4" w:space="0" w:color="auto"/>
              <w:left w:val="nil"/>
              <w:bottom w:val="single" w:sz="4" w:space="0" w:color="auto"/>
              <w:right w:val="nil"/>
            </w:tcBorders>
            <w:vAlign w:val="center"/>
          </w:tcPr>
          <w:p w14:paraId="3874F0E9" w14:textId="7BB31E7F" w:rsidR="009A7C3F" w:rsidRPr="00DB0BDE" w:rsidRDefault="009A7C3F" w:rsidP="009A7C3F">
            <w:pPr>
              <w:suppressAutoHyphens/>
              <w:ind w:right="11"/>
              <w:jc w:val="right"/>
              <w:rPr>
                <w:rFonts w:asciiTheme="minorHAnsi" w:hAnsiTheme="minorHAnsi" w:cstheme="minorHAnsi"/>
                <w:b/>
                <w:bCs/>
                <w:iCs/>
                <w:color w:val="000000" w:themeColor="text1"/>
                <w:szCs w:val="20"/>
                <w:lang w:eastAsia="uk-UA"/>
              </w:rPr>
            </w:pPr>
            <w:r w:rsidRPr="00DB0BDE">
              <w:rPr>
                <w:color w:val="000000" w:themeColor="text1"/>
                <w:szCs w:val="20"/>
              </w:rPr>
              <w:t> </w:t>
            </w:r>
          </w:p>
        </w:tc>
        <w:tc>
          <w:tcPr>
            <w:tcW w:w="1027" w:type="pct"/>
            <w:tcBorders>
              <w:top w:val="single" w:sz="4" w:space="0" w:color="auto"/>
              <w:left w:val="nil"/>
              <w:bottom w:val="single" w:sz="4" w:space="0" w:color="auto"/>
              <w:right w:val="nil"/>
            </w:tcBorders>
            <w:vAlign w:val="center"/>
          </w:tcPr>
          <w:p w14:paraId="794AE0A0" w14:textId="772B0E2C" w:rsidR="009A7C3F" w:rsidRPr="00DB0BDE" w:rsidRDefault="009A7C3F" w:rsidP="009A7C3F">
            <w:pPr>
              <w:suppressAutoHyphens/>
              <w:ind w:right="11"/>
              <w:jc w:val="right"/>
              <w:rPr>
                <w:rFonts w:asciiTheme="minorHAnsi" w:hAnsiTheme="minorHAnsi" w:cstheme="minorHAnsi"/>
                <w:b/>
                <w:bCs/>
                <w:iCs/>
                <w:color w:val="000000" w:themeColor="text1"/>
                <w:szCs w:val="20"/>
                <w:lang w:eastAsia="uk-UA"/>
              </w:rPr>
            </w:pPr>
            <w:r w:rsidRPr="00DB0BDE">
              <w:rPr>
                <w:color w:val="000000" w:themeColor="text1"/>
                <w:szCs w:val="20"/>
              </w:rPr>
              <w:t> </w:t>
            </w:r>
          </w:p>
        </w:tc>
      </w:tr>
      <w:tr w:rsidR="008732F7" w:rsidRPr="00DB0BDE" w14:paraId="7E04C20D" w14:textId="77777777" w:rsidTr="008732F7">
        <w:trPr>
          <w:cantSplit/>
          <w:tblHeader/>
        </w:trPr>
        <w:tc>
          <w:tcPr>
            <w:tcW w:w="2869" w:type="pct"/>
            <w:tcBorders>
              <w:top w:val="single" w:sz="4" w:space="0" w:color="auto"/>
              <w:left w:val="nil"/>
              <w:right w:val="nil"/>
            </w:tcBorders>
            <w:vAlign w:val="center"/>
          </w:tcPr>
          <w:p w14:paraId="4E2B450A" w14:textId="6719A3DA" w:rsidR="008732F7" w:rsidRPr="00DB0BDE" w:rsidRDefault="00335BA6" w:rsidP="008732F7">
            <w:pPr>
              <w:jc w:val="left"/>
              <w:rPr>
                <w:rFonts w:asciiTheme="minorHAnsi" w:hAnsiTheme="minorHAnsi" w:cstheme="minorHAnsi"/>
                <w:b/>
                <w:bCs/>
                <w:color w:val="000000" w:themeColor="text1"/>
                <w:szCs w:val="20"/>
              </w:rPr>
            </w:pPr>
            <w:r w:rsidRPr="00DB0BDE">
              <w:rPr>
                <w:color w:val="000000" w:themeColor="text1"/>
                <w:szCs w:val="20"/>
              </w:rPr>
              <w:t>Дол</w:t>
            </w:r>
            <w:r w:rsidR="008732F7" w:rsidRPr="00DB0BDE">
              <w:rPr>
                <w:color w:val="000000" w:themeColor="text1"/>
                <w:szCs w:val="20"/>
              </w:rPr>
              <w:t>ар США</w:t>
            </w:r>
          </w:p>
        </w:tc>
        <w:tc>
          <w:tcPr>
            <w:tcW w:w="1104" w:type="pct"/>
            <w:tcBorders>
              <w:top w:val="single" w:sz="4" w:space="0" w:color="auto"/>
              <w:left w:val="nil"/>
              <w:right w:val="nil"/>
            </w:tcBorders>
          </w:tcPr>
          <w:p w14:paraId="6D0469CC" w14:textId="53572418" w:rsidR="008732F7" w:rsidRPr="00DB0BDE" w:rsidRDefault="008732F7" w:rsidP="008732F7">
            <w:pPr>
              <w:suppressAutoHyphens/>
              <w:ind w:right="11"/>
              <w:jc w:val="center"/>
              <w:rPr>
                <w:rFonts w:asciiTheme="minorHAnsi" w:hAnsiTheme="minorHAnsi" w:cstheme="minorHAnsi"/>
                <w:b/>
                <w:bCs/>
                <w:iCs/>
                <w:color w:val="000000" w:themeColor="text1"/>
                <w:szCs w:val="20"/>
                <w:lang w:eastAsia="uk-UA"/>
              </w:rPr>
            </w:pPr>
            <w:r w:rsidRPr="00DB0BDE">
              <w:rPr>
                <w:color w:val="000000" w:themeColor="text1"/>
                <w:szCs w:val="20"/>
              </w:rPr>
              <w:t>5%</w:t>
            </w:r>
          </w:p>
        </w:tc>
        <w:tc>
          <w:tcPr>
            <w:tcW w:w="1027" w:type="pct"/>
            <w:tcBorders>
              <w:top w:val="single" w:sz="4" w:space="0" w:color="auto"/>
              <w:left w:val="nil"/>
              <w:right w:val="nil"/>
            </w:tcBorders>
          </w:tcPr>
          <w:p w14:paraId="5D5B96CB" w14:textId="7E53D130" w:rsidR="008732F7" w:rsidRPr="00DB0BDE" w:rsidRDefault="00DB0BDE" w:rsidP="008732F7">
            <w:pPr>
              <w:suppressAutoHyphens/>
              <w:ind w:right="11"/>
              <w:jc w:val="right"/>
              <w:rPr>
                <w:rFonts w:asciiTheme="minorHAnsi" w:hAnsiTheme="minorHAnsi" w:cstheme="minorHAnsi"/>
                <w:b/>
                <w:bCs/>
                <w:iCs/>
                <w:color w:val="000000" w:themeColor="text1"/>
                <w:szCs w:val="20"/>
                <w:lang w:eastAsia="uk-UA"/>
              </w:rPr>
            </w:pPr>
            <w:r w:rsidRPr="00DB0BDE">
              <w:rPr>
                <w:color w:val="000000" w:themeColor="text1"/>
                <w:szCs w:val="20"/>
              </w:rPr>
              <w:t>(2 118)</w:t>
            </w:r>
            <w:r w:rsidR="008732F7" w:rsidRPr="00DB0BDE">
              <w:rPr>
                <w:color w:val="000000" w:themeColor="text1"/>
                <w:szCs w:val="20"/>
              </w:rPr>
              <w:t xml:space="preserve"> </w:t>
            </w:r>
          </w:p>
        </w:tc>
      </w:tr>
      <w:tr w:rsidR="008732F7" w:rsidRPr="00DB0BDE" w14:paraId="29B2C82B" w14:textId="77777777" w:rsidTr="008732F7">
        <w:trPr>
          <w:cantSplit/>
          <w:tblHeader/>
        </w:trPr>
        <w:tc>
          <w:tcPr>
            <w:tcW w:w="2869" w:type="pct"/>
            <w:tcBorders>
              <w:left w:val="nil"/>
              <w:right w:val="nil"/>
            </w:tcBorders>
            <w:vAlign w:val="center"/>
          </w:tcPr>
          <w:p w14:paraId="3CFC8EA0" w14:textId="7361A376" w:rsidR="008732F7" w:rsidRPr="00DB0BDE" w:rsidRDefault="008732F7" w:rsidP="00335BA6">
            <w:pPr>
              <w:jc w:val="left"/>
              <w:rPr>
                <w:rFonts w:asciiTheme="minorHAnsi" w:hAnsiTheme="minorHAnsi" w:cstheme="minorHAnsi"/>
                <w:color w:val="000000" w:themeColor="text1"/>
                <w:szCs w:val="20"/>
              </w:rPr>
            </w:pPr>
            <w:r w:rsidRPr="00DB0BDE">
              <w:rPr>
                <w:color w:val="000000" w:themeColor="text1"/>
                <w:szCs w:val="20"/>
              </w:rPr>
              <w:t>Долар США</w:t>
            </w:r>
          </w:p>
        </w:tc>
        <w:tc>
          <w:tcPr>
            <w:tcW w:w="1104" w:type="pct"/>
            <w:tcBorders>
              <w:left w:val="nil"/>
              <w:right w:val="nil"/>
            </w:tcBorders>
          </w:tcPr>
          <w:p w14:paraId="3FF85FC6" w14:textId="6B99630C" w:rsidR="008732F7" w:rsidRPr="00DB0BDE" w:rsidRDefault="008732F7" w:rsidP="008732F7">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left w:val="nil"/>
              <w:right w:val="nil"/>
            </w:tcBorders>
          </w:tcPr>
          <w:p w14:paraId="367F0BFE" w14:textId="670EFF50" w:rsidR="008732F7" w:rsidRPr="00DB0BDE" w:rsidRDefault="00DB0BDE" w:rsidP="008732F7">
            <w:pPr>
              <w:suppressAutoHyphens/>
              <w:ind w:right="11"/>
              <w:jc w:val="right"/>
              <w:rPr>
                <w:rFonts w:asciiTheme="minorHAnsi" w:hAnsiTheme="minorHAnsi" w:cstheme="minorHAnsi"/>
                <w:color w:val="000000" w:themeColor="text1"/>
                <w:szCs w:val="20"/>
              </w:rPr>
            </w:pPr>
            <w:r w:rsidRPr="00DB0BDE">
              <w:rPr>
                <w:color w:val="000000" w:themeColor="text1"/>
                <w:szCs w:val="20"/>
              </w:rPr>
              <w:t>2 118</w:t>
            </w:r>
          </w:p>
        </w:tc>
      </w:tr>
      <w:tr w:rsidR="008732F7" w:rsidRPr="00DB0BDE" w14:paraId="39B0B1C8" w14:textId="77777777" w:rsidTr="008732F7">
        <w:trPr>
          <w:cantSplit/>
          <w:tblHeader/>
        </w:trPr>
        <w:tc>
          <w:tcPr>
            <w:tcW w:w="2869" w:type="pct"/>
            <w:tcBorders>
              <w:left w:val="nil"/>
              <w:right w:val="nil"/>
            </w:tcBorders>
            <w:vAlign w:val="center"/>
          </w:tcPr>
          <w:p w14:paraId="1EA6616C" w14:textId="112D215A" w:rsidR="008732F7" w:rsidRPr="00DB0BDE" w:rsidRDefault="008732F7" w:rsidP="008732F7">
            <w:pPr>
              <w:jc w:val="left"/>
              <w:rPr>
                <w:rFonts w:asciiTheme="minorHAnsi" w:hAnsiTheme="minorHAnsi" w:cstheme="minorHAnsi"/>
                <w:color w:val="000000" w:themeColor="text1"/>
                <w:szCs w:val="20"/>
              </w:rPr>
            </w:pPr>
            <w:r w:rsidRPr="00DB0BDE">
              <w:rPr>
                <w:color w:val="000000" w:themeColor="text1"/>
                <w:szCs w:val="20"/>
              </w:rPr>
              <w:t>Євро</w:t>
            </w:r>
          </w:p>
        </w:tc>
        <w:tc>
          <w:tcPr>
            <w:tcW w:w="1104" w:type="pct"/>
            <w:tcBorders>
              <w:left w:val="nil"/>
              <w:right w:val="nil"/>
            </w:tcBorders>
          </w:tcPr>
          <w:p w14:paraId="6FF42314" w14:textId="53D2AB57" w:rsidR="008732F7" w:rsidRPr="00DB0BDE" w:rsidRDefault="008732F7" w:rsidP="008732F7">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left w:val="nil"/>
              <w:right w:val="nil"/>
            </w:tcBorders>
          </w:tcPr>
          <w:p w14:paraId="03F2B4F9" w14:textId="4547F2E3" w:rsidR="008732F7" w:rsidRPr="00DB0BDE" w:rsidRDefault="00DB0BDE" w:rsidP="008732F7">
            <w:pPr>
              <w:suppressAutoHyphens/>
              <w:ind w:right="11"/>
              <w:jc w:val="right"/>
              <w:rPr>
                <w:rFonts w:asciiTheme="minorHAnsi" w:hAnsiTheme="minorHAnsi" w:cstheme="minorHAnsi"/>
                <w:color w:val="000000" w:themeColor="text1"/>
                <w:szCs w:val="20"/>
              </w:rPr>
            </w:pPr>
            <w:r w:rsidRPr="00DB0BDE">
              <w:rPr>
                <w:color w:val="000000" w:themeColor="text1"/>
                <w:szCs w:val="20"/>
              </w:rPr>
              <w:t>1 847</w:t>
            </w:r>
          </w:p>
        </w:tc>
      </w:tr>
      <w:tr w:rsidR="008732F7" w:rsidRPr="00DB0BDE" w14:paraId="17BE1809" w14:textId="77777777" w:rsidTr="008732F7">
        <w:trPr>
          <w:cantSplit/>
          <w:tblHeader/>
        </w:trPr>
        <w:tc>
          <w:tcPr>
            <w:tcW w:w="2869" w:type="pct"/>
            <w:tcBorders>
              <w:left w:val="nil"/>
              <w:right w:val="nil"/>
            </w:tcBorders>
            <w:vAlign w:val="center"/>
          </w:tcPr>
          <w:p w14:paraId="2207150A" w14:textId="0B6543F4" w:rsidR="008732F7" w:rsidRPr="00DB0BDE" w:rsidRDefault="008732F7" w:rsidP="008732F7">
            <w:pPr>
              <w:jc w:val="left"/>
              <w:rPr>
                <w:rFonts w:asciiTheme="minorHAnsi" w:hAnsiTheme="minorHAnsi" w:cstheme="minorHAnsi"/>
                <w:color w:val="000000" w:themeColor="text1"/>
                <w:szCs w:val="20"/>
              </w:rPr>
            </w:pPr>
            <w:r w:rsidRPr="00DB0BDE">
              <w:rPr>
                <w:color w:val="000000" w:themeColor="text1"/>
                <w:szCs w:val="20"/>
              </w:rPr>
              <w:t>Євро</w:t>
            </w:r>
          </w:p>
        </w:tc>
        <w:tc>
          <w:tcPr>
            <w:tcW w:w="1104" w:type="pct"/>
            <w:tcBorders>
              <w:left w:val="nil"/>
              <w:right w:val="nil"/>
            </w:tcBorders>
          </w:tcPr>
          <w:p w14:paraId="04BEE8B8" w14:textId="17DB0A0B" w:rsidR="008732F7" w:rsidRPr="00DB0BDE" w:rsidRDefault="008732F7" w:rsidP="008732F7">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left w:val="nil"/>
              <w:right w:val="nil"/>
            </w:tcBorders>
          </w:tcPr>
          <w:p w14:paraId="2AF28448" w14:textId="27A0A490" w:rsidR="008732F7" w:rsidRPr="00DB0BDE" w:rsidRDefault="00DB0BDE" w:rsidP="008732F7">
            <w:pPr>
              <w:suppressAutoHyphens/>
              <w:ind w:right="11"/>
              <w:jc w:val="right"/>
              <w:rPr>
                <w:rFonts w:asciiTheme="minorHAnsi" w:hAnsiTheme="minorHAnsi" w:cstheme="minorHAnsi"/>
                <w:color w:val="000000" w:themeColor="text1"/>
                <w:szCs w:val="20"/>
              </w:rPr>
            </w:pPr>
            <w:r w:rsidRPr="00DB0BDE">
              <w:rPr>
                <w:color w:val="000000" w:themeColor="text1"/>
                <w:szCs w:val="20"/>
              </w:rPr>
              <w:t>(1 847)</w:t>
            </w:r>
            <w:r w:rsidR="008732F7" w:rsidRPr="00DB0BDE">
              <w:rPr>
                <w:color w:val="000000" w:themeColor="text1"/>
                <w:szCs w:val="20"/>
              </w:rPr>
              <w:t xml:space="preserve"> </w:t>
            </w:r>
          </w:p>
        </w:tc>
      </w:tr>
      <w:tr w:rsidR="008732F7" w:rsidRPr="00DB0BDE" w14:paraId="1FBA724F" w14:textId="77777777" w:rsidTr="008732F7">
        <w:trPr>
          <w:cantSplit/>
          <w:tblHeader/>
        </w:trPr>
        <w:tc>
          <w:tcPr>
            <w:tcW w:w="2869" w:type="pct"/>
            <w:tcBorders>
              <w:top w:val="single" w:sz="4" w:space="0" w:color="auto"/>
              <w:left w:val="nil"/>
              <w:bottom w:val="single" w:sz="4" w:space="0" w:color="auto"/>
              <w:right w:val="nil"/>
            </w:tcBorders>
            <w:vAlign w:val="center"/>
          </w:tcPr>
          <w:p w14:paraId="24EB73B0" w14:textId="3C397025" w:rsidR="009A7C3F" w:rsidRPr="00DB0BDE" w:rsidRDefault="009A7C3F" w:rsidP="009A7C3F">
            <w:pPr>
              <w:jc w:val="left"/>
              <w:rPr>
                <w:rFonts w:asciiTheme="minorHAnsi" w:hAnsiTheme="minorHAnsi" w:cstheme="minorHAnsi"/>
                <w:color w:val="000000" w:themeColor="text1"/>
                <w:szCs w:val="20"/>
              </w:rPr>
            </w:pPr>
            <w:r w:rsidRPr="00DB0BDE">
              <w:rPr>
                <w:b/>
                <w:bCs/>
                <w:color w:val="000000" w:themeColor="text1"/>
                <w:szCs w:val="20"/>
              </w:rPr>
              <w:t>За рік, що закінчився 31.12.201</w:t>
            </w:r>
            <w:r w:rsidR="00DB0BDE" w:rsidRPr="00DB0BDE">
              <w:rPr>
                <w:b/>
                <w:bCs/>
                <w:color w:val="000000" w:themeColor="text1"/>
                <w:szCs w:val="20"/>
              </w:rPr>
              <w:t>9</w:t>
            </w:r>
          </w:p>
        </w:tc>
        <w:tc>
          <w:tcPr>
            <w:tcW w:w="1104" w:type="pct"/>
            <w:tcBorders>
              <w:top w:val="single" w:sz="4" w:space="0" w:color="auto"/>
              <w:left w:val="nil"/>
              <w:bottom w:val="single" w:sz="4" w:space="0" w:color="auto"/>
              <w:right w:val="nil"/>
            </w:tcBorders>
            <w:vAlign w:val="center"/>
          </w:tcPr>
          <w:p w14:paraId="77C1DCE2" w14:textId="1A8574E8" w:rsidR="009A7C3F" w:rsidRPr="00DB0BDE" w:rsidRDefault="009A7C3F" w:rsidP="004C61DA">
            <w:pPr>
              <w:suppressAutoHyphens/>
              <w:ind w:right="11"/>
              <w:jc w:val="center"/>
              <w:rPr>
                <w:rFonts w:asciiTheme="minorHAnsi" w:hAnsiTheme="minorHAnsi" w:cstheme="minorHAnsi"/>
                <w:color w:val="000000" w:themeColor="text1"/>
                <w:szCs w:val="20"/>
              </w:rPr>
            </w:pPr>
          </w:p>
        </w:tc>
        <w:tc>
          <w:tcPr>
            <w:tcW w:w="1027" w:type="pct"/>
            <w:tcBorders>
              <w:top w:val="single" w:sz="4" w:space="0" w:color="auto"/>
              <w:left w:val="nil"/>
              <w:bottom w:val="single" w:sz="4" w:space="0" w:color="auto"/>
              <w:right w:val="nil"/>
            </w:tcBorders>
            <w:vAlign w:val="center"/>
          </w:tcPr>
          <w:p w14:paraId="6343C1E9" w14:textId="1196C401" w:rsidR="009A7C3F" w:rsidRPr="00DB0BDE" w:rsidRDefault="009A7C3F" w:rsidP="009A7C3F">
            <w:pPr>
              <w:suppressAutoHyphens/>
              <w:ind w:right="11"/>
              <w:jc w:val="right"/>
              <w:rPr>
                <w:rFonts w:asciiTheme="minorHAnsi" w:hAnsiTheme="minorHAnsi" w:cstheme="minorHAnsi"/>
                <w:color w:val="000000" w:themeColor="text1"/>
                <w:szCs w:val="20"/>
              </w:rPr>
            </w:pPr>
            <w:r w:rsidRPr="00DB0BDE">
              <w:rPr>
                <w:color w:val="000000" w:themeColor="text1"/>
                <w:szCs w:val="20"/>
              </w:rPr>
              <w:t> </w:t>
            </w:r>
          </w:p>
        </w:tc>
      </w:tr>
      <w:tr w:rsidR="00DB0BDE" w:rsidRPr="00DB0BDE" w14:paraId="5C8A7E83" w14:textId="77777777" w:rsidTr="00E6234D">
        <w:trPr>
          <w:cantSplit/>
          <w:tblHeader/>
        </w:trPr>
        <w:tc>
          <w:tcPr>
            <w:tcW w:w="2869" w:type="pct"/>
            <w:tcBorders>
              <w:top w:val="single" w:sz="4" w:space="0" w:color="auto"/>
              <w:left w:val="nil"/>
              <w:right w:val="nil"/>
            </w:tcBorders>
            <w:vAlign w:val="center"/>
          </w:tcPr>
          <w:p w14:paraId="636D72CA" w14:textId="5E84C394" w:rsidR="00DB0BDE" w:rsidRPr="00DB0BDE" w:rsidRDefault="00DB0BDE" w:rsidP="00DB0BDE">
            <w:pPr>
              <w:jc w:val="left"/>
              <w:rPr>
                <w:rFonts w:asciiTheme="minorHAnsi" w:hAnsiTheme="minorHAnsi" w:cstheme="minorHAnsi"/>
                <w:color w:val="000000" w:themeColor="text1"/>
                <w:szCs w:val="20"/>
              </w:rPr>
            </w:pPr>
            <w:r w:rsidRPr="00DB0BDE">
              <w:rPr>
                <w:color w:val="000000" w:themeColor="text1"/>
                <w:szCs w:val="20"/>
              </w:rPr>
              <w:t>Долар США</w:t>
            </w:r>
          </w:p>
        </w:tc>
        <w:tc>
          <w:tcPr>
            <w:tcW w:w="1104" w:type="pct"/>
            <w:tcBorders>
              <w:top w:val="single" w:sz="4" w:space="0" w:color="auto"/>
              <w:left w:val="nil"/>
              <w:right w:val="nil"/>
            </w:tcBorders>
          </w:tcPr>
          <w:p w14:paraId="78D98C24" w14:textId="6BC0562C" w:rsidR="00DB0BDE" w:rsidRPr="00DB0BDE" w:rsidRDefault="00DB0BDE" w:rsidP="00DB0BDE">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top w:val="single" w:sz="4" w:space="0" w:color="auto"/>
              <w:left w:val="nil"/>
              <w:right w:val="nil"/>
            </w:tcBorders>
          </w:tcPr>
          <w:p w14:paraId="4CE23C56" w14:textId="088B2DF2" w:rsidR="00DB0BDE" w:rsidRPr="00DB0BDE" w:rsidRDefault="00DB0BDE" w:rsidP="00DB0BDE">
            <w:pPr>
              <w:suppressAutoHyphens/>
              <w:ind w:right="11"/>
              <w:jc w:val="right"/>
              <w:rPr>
                <w:rFonts w:asciiTheme="minorHAnsi" w:hAnsiTheme="minorHAnsi" w:cstheme="minorHAnsi"/>
                <w:color w:val="000000" w:themeColor="text1"/>
                <w:szCs w:val="20"/>
              </w:rPr>
            </w:pPr>
            <w:r w:rsidRPr="00DB0BDE">
              <w:rPr>
                <w:color w:val="000000" w:themeColor="text1"/>
                <w:szCs w:val="20"/>
              </w:rPr>
              <w:t xml:space="preserve">72 </w:t>
            </w:r>
          </w:p>
        </w:tc>
      </w:tr>
      <w:tr w:rsidR="00DB0BDE" w:rsidRPr="00DB0BDE" w14:paraId="41A43A5C" w14:textId="77777777" w:rsidTr="00E6234D">
        <w:trPr>
          <w:cantSplit/>
          <w:tblHeader/>
        </w:trPr>
        <w:tc>
          <w:tcPr>
            <w:tcW w:w="2869" w:type="pct"/>
            <w:tcBorders>
              <w:left w:val="nil"/>
              <w:right w:val="nil"/>
            </w:tcBorders>
            <w:vAlign w:val="center"/>
          </w:tcPr>
          <w:p w14:paraId="6A561D33" w14:textId="6C35DEE2" w:rsidR="00DB0BDE" w:rsidRPr="00DB0BDE" w:rsidRDefault="00DB0BDE" w:rsidP="00DB0BDE">
            <w:pPr>
              <w:jc w:val="left"/>
              <w:rPr>
                <w:rFonts w:asciiTheme="minorHAnsi" w:hAnsiTheme="minorHAnsi" w:cstheme="minorHAnsi"/>
                <w:color w:val="000000" w:themeColor="text1"/>
                <w:szCs w:val="20"/>
              </w:rPr>
            </w:pPr>
            <w:r w:rsidRPr="00DB0BDE">
              <w:rPr>
                <w:color w:val="000000" w:themeColor="text1"/>
                <w:szCs w:val="20"/>
              </w:rPr>
              <w:t>Долар США</w:t>
            </w:r>
          </w:p>
        </w:tc>
        <w:tc>
          <w:tcPr>
            <w:tcW w:w="1104" w:type="pct"/>
            <w:tcBorders>
              <w:left w:val="nil"/>
              <w:right w:val="nil"/>
            </w:tcBorders>
          </w:tcPr>
          <w:p w14:paraId="04AB2604" w14:textId="3D532746" w:rsidR="00DB0BDE" w:rsidRPr="00DB0BDE" w:rsidRDefault="00DB0BDE" w:rsidP="00DB0BDE">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left w:val="nil"/>
              <w:right w:val="nil"/>
            </w:tcBorders>
          </w:tcPr>
          <w:p w14:paraId="34DE1DED" w14:textId="4B4244A7" w:rsidR="00DB0BDE" w:rsidRPr="00DB0BDE" w:rsidRDefault="00DB0BDE" w:rsidP="00DB0BDE">
            <w:pPr>
              <w:suppressAutoHyphens/>
              <w:ind w:right="11"/>
              <w:jc w:val="right"/>
              <w:rPr>
                <w:rFonts w:asciiTheme="minorHAnsi" w:hAnsiTheme="minorHAnsi" w:cstheme="minorHAnsi"/>
                <w:color w:val="000000" w:themeColor="text1"/>
                <w:szCs w:val="20"/>
              </w:rPr>
            </w:pPr>
            <w:r w:rsidRPr="00DB0BDE">
              <w:rPr>
                <w:color w:val="000000" w:themeColor="text1"/>
                <w:szCs w:val="20"/>
              </w:rPr>
              <w:t>(72)</w:t>
            </w:r>
          </w:p>
        </w:tc>
      </w:tr>
      <w:tr w:rsidR="00DB0BDE" w:rsidRPr="00DB0BDE" w14:paraId="06EC1ABD" w14:textId="77777777" w:rsidTr="00E6234D">
        <w:trPr>
          <w:cantSplit/>
          <w:tblHeader/>
        </w:trPr>
        <w:tc>
          <w:tcPr>
            <w:tcW w:w="2869" w:type="pct"/>
            <w:tcBorders>
              <w:left w:val="nil"/>
              <w:right w:val="nil"/>
            </w:tcBorders>
            <w:vAlign w:val="center"/>
          </w:tcPr>
          <w:p w14:paraId="7AC04DC2" w14:textId="5D9AA3CB" w:rsidR="00DB0BDE" w:rsidRPr="00DB0BDE" w:rsidRDefault="00DB0BDE" w:rsidP="00DB0BDE">
            <w:pPr>
              <w:jc w:val="left"/>
              <w:rPr>
                <w:rFonts w:asciiTheme="minorHAnsi" w:hAnsiTheme="minorHAnsi" w:cstheme="minorHAnsi"/>
                <w:color w:val="000000" w:themeColor="text1"/>
                <w:szCs w:val="20"/>
              </w:rPr>
            </w:pPr>
            <w:r w:rsidRPr="00DB0BDE">
              <w:rPr>
                <w:color w:val="000000" w:themeColor="text1"/>
                <w:szCs w:val="20"/>
              </w:rPr>
              <w:t>Євро</w:t>
            </w:r>
          </w:p>
        </w:tc>
        <w:tc>
          <w:tcPr>
            <w:tcW w:w="1104" w:type="pct"/>
            <w:tcBorders>
              <w:left w:val="nil"/>
              <w:right w:val="nil"/>
            </w:tcBorders>
          </w:tcPr>
          <w:p w14:paraId="3E73F354" w14:textId="7E3763A5" w:rsidR="00DB0BDE" w:rsidRPr="00DB0BDE" w:rsidRDefault="00DB0BDE" w:rsidP="00DB0BDE">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left w:val="nil"/>
              <w:right w:val="nil"/>
            </w:tcBorders>
          </w:tcPr>
          <w:p w14:paraId="014AAE11" w14:textId="55FC554B" w:rsidR="00DB0BDE" w:rsidRPr="00DB0BDE" w:rsidRDefault="00DB0BDE" w:rsidP="00DB0BDE">
            <w:pPr>
              <w:suppressAutoHyphens/>
              <w:ind w:right="11"/>
              <w:jc w:val="right"/>
              <w:rPr>
                <w:rFonts w:asciiTheme="minorHAnsi" w:hAnsiTheme="minorHAnsi" w:cstheme="minorHAnsi"/>
                <w:color w:val="000000" w:themeColor="text1"/>
                <w:szCs w:val="20"/>
              </w:rPr>
            </w:pPr>
            <w:r w:rsidRPr="00DB0BDE">
              <w:rPr>
                <w:color w:val="000000" w:themeColor="text1"/>
                <w:szCs w:val="20"/>
              </w:rPr>
              <w:t>(2 317)</w:t>
            </w:r>
          </w:p>
        </w:tc>
      </w:tr>
      <w:tr w:rsidR="00DB0BDE" w:rsidRPr="00DB0BDE" w14:paraId="2B8D1021" w14:textId="77777777" w:rsidTr="00E6234D">
        <w:trPr>
          <w:cantSplit/>
          <w:tblHeader/>
        </w:trPr>
        <w:tc>
          <w:tcPr>
            <w:tcW w:w="2869" w:type="pct"/>
            <w:tcBorders>
              <w:left w:val="nil"/>
              <w:right w:val="nil"/>
            </w:tcBorders>
            <w:vAlign w:val="center"/>
          </w:tcPr>
          <w:p w14:paraId="42BEBA52" w14:textId="108A8A4D" w:rsidR="00DB0BDE" w:rsidRPr="00DB0BDE" w:rsidRDefault="00DB0BDE" w:rsidP="00DB0BDE">
            <w:pPr>
              <w:jc w:val="left"/>
              <w:rPr>
                <w:rFonts w:asciiTheme="minorHAnsi" w:hAnsiTheme="minorHAnsi" w:cstheme="minorHAnsi"/>
                <w:color w:val="000000" w:themeColor="text1"/>
                <w:szCs w:val="20"/>
              </w:rPr>
            </w:pPr>
            <w:r w:rsidRPr="00DB0BDE">
              <w:rPr>
                <w:color w:val="000000" w:themeColor="text1"/>
                <w:szCs w:val="20"/>
              </w:rPr>
              <w:t>Євро</w:t>
            </w:r>
          </w:p>
        </w:tc>
        <w:tc>
          <w:tcPr>
            <w:tcW w:w="1104" w:type="pct"/>
            <w:tcBorders>
              <w:left w:val="nil"/>
              <w:right w:val="nil"/>
            </w:tcBorders>
          </w:tcPr>
          <w:p w14:paraId="29FEA632" w14:textId="51916B4C" w:rsidR="00DB0BDE" w:rsidRPr="00DB0BDE" w:rsidRDefault="00DB0BDE" w:rsidP="00DB0BDE">
            <w:pPr>
              <w:suppressAutoHyphens/>
              <w:ind w:right="11"/>
              <w:jc w:val="center"/>
              <w:rPr>
                <w:rFonts w:asciiTheme="minorHAnsi" w:hAnsiTheme="minorHAnsi" w:cstheme="minorHAnsi"/>
                <w:color w:val="000000" w:themeColor="text1"/>
                <w:szCs w:val="20"/>
              </w:rPr>
            </w:pPr>
            <w:r w:rsidRPr="00DB0BDE">
              <w:rPr>
                <w:color w:val="000000" w:themeColor="text1"/>
                <w:szCs w:val="20"/>
              </w:rPr>
              <w:t>-5%</w:t>
            </w:r>
          </w:p>
        </w:tc>
        <w:tc>
          <w:tcPr>
            <w:tcW w:w="1027" w:type="pct"/>
            <w:tcBorders>
              <w:left w:val="nil"/>
              <w:right w:val="nil"/>
            </w:tcBorders>
          </w:tcPr>
          <w:p w14:paraId="293A8DCE" w14:textId="42C90B3F" w:rsidR="00DB0BDE" w:rsidRPr="00DB0BDE" w:rsidRDefault="00DB0BDE" w:rsidP="00DB0BDE">
            <w:pPr>
              <w:suppressAutoHyphens/>
              <w:ind w:right="11"/>
              <w:jc w:val="right"/>
              <w:rPr>
                <w:rFonts w:asciiTheme="minorHAnsi" w:hAnsiTheme="minorHAnsi" w:cstheme="minorHAnsi"/>
                <w:color w:val="000000" w:themeColor="text1"/>
                <w:szCs w:val="20"/>
              </w:rPr>
            </w:pPr>
            <w:r w:rsidRPr="00DB0BDE">
              <w:rPr>
                <w:color w:val="000000" w:themeColor="text1"/>
                <w:szCs w:val="20"/>
              </w:rPr>
              <w:t xml:space="preserve">2 317 </w:t>
            </w:r>
          </w:p>
        </w:tc>
      </w:tr>
    </w:tbl>
    <w:p w14:paraId="39BF500E" w14:textId="77777777" w:rsidR="00D7008C" w:rsidRPr="00DB0BDE" w:rsidRDefault="00D7008C" w:rsidP="003A7D0C">
      <w:pPr>
        <w:numPr>
          <w:ilvl w:val="1"/>
          <w:numId w:val="2"/>
        </w:numPr>
        <w:tabs>
          <w:tab w:val="left" w:pos="284"/>
        </w:tabs>
        <w:spacing w:before="240" w:after="120"/>
        <w:ind w:left="0" w:right="11" w:firstLine="0"/>
        <w:rPr>
          <w:rFonts w:asciiTheme="minorHAnsi" w:hAnsiTheme="minorHAnsi" w:cstheme="minorHAnsi"/>
          <w:b/>
          <w:bCs/>
          <w:iCs/>
          <w:color w:val="000000" w:themeColor="text1"/>
          <w:szCs w:val="20"/>
          <w:lang w:eastAsia="uk-UA"/>
        </w:rPr>
      </w:pPr>
      <w:r w:rsidRPr="00DB0BDE">
        <w:rPr>
          <w:rFonts w:asciiTheme="minorHAnsi" w:hAnsiTheme="minorHAnsi" w:cstheme="minorHAnsi"/>
          <w:b/>
          <w:bCs/>
          <w:iCs/>
          <w:color w:val="000000" w:themeColor="text1"/>
          <w:szCs w:val="20"/>
          <w:lang w:eastAsia="uk-UA"/>
        </w:rPr>
        <w:t>Ризик процентної ставки</w:t>
      </w:r>
    </w:p>
    <w:p w14:paraId="7B6F0458" w14:textId="77777777" w:rsidR="00D7008C" w:rsidRPr="00DB0BDE" w:rsidRDefault="00D7008C" w:rsidP="00F24CEE">
      <w:pPr>
        <w:pStyle w:val="af7"/>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Компанія схильна до впливу коливань процентних ставок, які можуть негативно вплинути на фінансові результати Компанії.</w:t>
      </w:r>
    </w:p>
    <w:p w14:paraId="6D06AD4F" w14:textId="77777777" w:rsidR="00D7008C" w:rsidRPr="00DB0BDE" w:rsidRDefault="00D7008C" w:rsidP="003A7D0C">
      <w:pPr>
        <w:keepNext/>
        <w:numPr>
          <w:ilvl w:val="1"/>
          <w:numId w:val="2"/>
        </w:numPr>
        <w:tabs>
          <w:tab w:val="left" w:pos="284"/>
        </w:tabs>
        <w:spacing w:before="240" w:after="120"/>
        <w:ind w:left="0" w:right="11" w:firstLine="0"/>
        <w:rPr>
          <w:rFonts w:asciiTheme="minorHAnsi" w:hAnsiTheme="minorHAnsi" w:cstheme="minorHAnsi"/>
          <w:b/>
          <w:bCs/>
          <w:iCs/>
          <w:color w:val="000000" w:themeColor="text1"/>
          <w:szCs w:val="20"/>
          <w:lang w:eastAsia="uk-UA"/>
        </w:rPr>
      </w:pPr>
      <w:r w:rsidRPr="00DB0BDE">
        <w:rPr>
          <w:rFonts w:asciiTheme="minorHAnsi" w:hAnsiTheme="minorHAnsi" w:cstheme="minorHAnsi"/>
          <w:b/>
          <w:bCs/>
          <w:iCs/>
          <w:color w:val="000000" w:themeColor="text1"/>
          <w:szCs w:val="20"/>
          <w:lang w:eastAsia="uk-UA"/>
        </w:rPr>
        <w:t>Управління капіталом</w:t>
      </w:r>
    </w:p>
    <w:p w14:paraId="3433ADF4" w14:textId="77777777" w:rsidR="00D7008C" w:rsidRPr="00DB0BDE" w:rsidRDefault="00D7008C" w:rsidP="00F24CEE">
      <w:pPr>
        <w:pStyle w:val="af7"/>
        <w:rPr>
          <w:rFonts w:asciiTheme="minorHAnsi" w:hAnsiTheme="minorHAnsi" w:cstheme="minorHAnsi"/>
          <w:color w:val="000000" w:themeColor="text1"/>
        </w:rPr>
      </w:pPr>
      <w:r w:rsidRPr="00DB0BDE">
        <w:rPr>
          <w:rFonts w:asciiTheme="minorHAnsi" w:hAnsiTheme="minorHAnsi" w:cstheme="minorHAnsi"/>
          <w:color w:val="000000" w:themeColor="text1"/>
        </w:rPr>
        <w:t>Управління капіталом Компанії спрямовано на забезпечення безперервності діяльності підприємства з одночасним зростанням приросту прибутків через оптимізацію співвідношення власних та залучених коштів.</w:t>
      </w:r>
    </w:p>
    <w:p w14:paraId="3DA54607" w14:textId="77777777" w:rsidR="00D7008C" w:rsidRPr="00DB0BDE" w:rsidRDefault="00D7008C" w:rsidP="003547BB">
      <w:pPr>
        <w:pStyle w:val="af7"/>
        <w:rPr>
          <w:rFonts w:asciiTheme="minorHAnsi" w:hAnsiTheme="minorHAnsi" w:cstheme="minorHAnsi"/>
          <w:color w:val="000000" w:themeColor="text1"/>
          <w:szCs w:val="20"/>
        </w:rPr>
      </w:pPr>
      <w:r w:rsidRPr="00DB0BDE">
        <w:rPr>
          <w:rFonts w:asciiTheme="minorHAnsi" w:hAnsiTheme="minorHAnsi" w:cstheme="minorHAnsi"/>
          <w:color w:val="000000" w:themeColor="text1"/>
        </w:rPr>
        <w:t xml:space="preserve">Керівництво вживає заходів по дотриманню рівня капіталу на рівні, що є достатнім для </w:t>
      </w:r>
      <w:r w:rsidRPr="004B7218">
        <w:rPr>
          <w:rFonts w:asciiTheme="minorHAnsi" w:hAnsiTheme="minorHAnsi" w:cstheme="minorHAnsi"/>
          <w:color w:val="000000" w:themeColor="text1"/>
        </w:rPr>
        <w:t xml:space="preserve">забезпечення оперативних та стратегічних потреб Компанії, а також для підтримки довіри з боку інших учасників ринку. </w:t>
      </w:r>
      <w:r w:rsidRPr="00DB0BDE">
        <w:rPr>
          <w:rFonts w:asciiTheme="minorHAnsi" w:hAnsiTheme="minorHAnsi" w:cstheme="minorHAnsi"/>
          <w:color w:val="000000" w:themeColor="text1"/>
        </w:rPr>
        <w:t xml:space="preserve">Це досягається через ефективне управління грошовими коштами, постійного контролю виручки та прибутку Компанії, а також плануванням довгострокових інвестицій, що фінансуються за рахунок коштів від </w:t>
      </w:r>
      <w:r w:rsidRPr="00DB0BDE">
        <w:rPr>
          <w:rFonts w:asciiTheme="minorHAnsi" w:hAnsiTheme="minorHAnsi" w:cstheme="minorHAnsi"/>
          <w:color w:val="000000" w:themeColor="text1"/>
          <w:szCs w:val="20"/>
        </w:rPr>
        <w:t>операційної діяльності Компанії. Виконуючи ці заходи Компанія намагається забезпечити стабільне зростання прибутків.</w:t>
      </w:r>
    </w:p>
    <w:tbl>
      <w:tblPr>
        <w:tblW w:w="5000" w:type="pct"/>
        <w:tblLook w:val="04A0" w:firstRow="1" w:lastRow="0" w:firstColumn="1" w:lastColumn="0" w:noHBand="0" w:noVBand="1"/>
      </w:tblPr>
      <w:tblGrid>
        <w:gridCol w:w="4821"/>
        <w:gridCol w:w="1274"/>
        <w:gridCol w:w="1771"/>
        <w:gridCol w:w="1771"/>
      </w:tblGrid>
      <w:tr w:rsidR="008732F7" w:rsidRPr="00DB0BDE" w14:paraId="6375F461" w14:textId="77777777" w:rsidTr="006560CE">
        <w:trPr>
          <w:trHeight w:val="510"/>
          <w:tblHeader/>
        </w:trPr>
        <w:tc>
          <w:tcPr>
            <w:tcW w:w="2501" w:type="pct"/>
            <w:tcBorders>
              <w:top w:val="nil"/>
              <w:left w:val="nil"/>
              <w:bottom w:val="single" w:sz="4" w:space="0" w:color="auto"/>
            </w:tcBorders>
            <w:noWrap/>
            <w:vAlign w:val="center"/>
            <w:hideMark/>
          </w:tcPr>
          <w:p w14:paraId="087C52F6" w14:textId="4965B769" w:rsidR="006902ED" w:rsidRPr="00DB0BDE" w:rsidRDefault="008732F7" w:rsidP="006902ED">
            <w:pPr>
              <w:jc w:val="left"/>
              <w:rPr>
                <w:rFonts w:asciiTheme="minorHAnsi" w:hAnsiTheme="minorHAnsi" w:cstheme="minorHAnsi"/>
                <w:b/>
                <w:bCs/>
                <w:color w:val="000000" w:themeColor="text1"/>
                <w:szCs w:val="20"/>
              </w:rPr>
            </w:pPr>
            <w:r w:rsidRPr="00DB0BDE">
              <w:rPr>
                <w:rFonts w:asciiTheme="minorHAnsi" w:hAnsiTheme="minorHAnsi" w:cstheme="minorHAnsi"/>
                <w:b/>
                <w:bCs/>
                <w:color w:val="000000" w:themeColor="text1"/>
                <w:szCs w:val="20"/>
              </w:rPr>
              <w:t>27</w:t>
            </w:r>
            <w:r w:rsidR="006902ED" w:rsidRPr="00DB0BDE">
              <w:rPr>
                <w:rFonts w:asciiTheme="minorHAnsi" w:hAnsiTheme="minorHAnsi" w:cstheme="minorHAnsi"/>
                <w:b/>
                <w:bCs/>
                <w:color w:val="000000" w:themeColor="text1"/>
                <w:szCs w:val="20"/>
              </w:rPr>
              <w:t>.10 Розрахунок фінансових показників</w:t>
            </w:r>
          </w:p>
        </w:tc>
        <w:tc>
          <w:tcPr>
            <w:tcW w:w="661" w:type="pct"/>
            <w:tcBorders>
              <w:top w:val="nil"/>
              <w:bottom w:val="single" w:sz="4" w:space="0" w:color="auto"/>
              <w:right w:val="nil"/>
            </w:tcBorders>
            <w:vAlign w:val="center"/>
          </w:tcPr>
          <w:p w14:paraId="248767BC" w14:textId="77777777" w:rsidR="006902ED" w:rsidRPr="00DB0BDE" w:rsidRDefault="006902ED" w:rsidP="006902ED">
            <w:pPr>
              <w:pStyle w:val="af7"/>
              <w:spacing w:before="0" w:after="0"/>
              <w:jc w:val="center"/>
              <w:rPr>
                <w:rFonts w:asciiTheme="minorHAnsi" w:hAnsiTheme="minorHAnsi" w:cstheme="minorHAnsi"/>
                <w:b/>
                <w:color w:val="000000" w:themeColor="text1"/>
                <w:szCs w:val="20"/>
              </w:rPr>
            </w:pPr>
            <w:r w:rsidRPr="00DB0BDE">
              <w:rPr>
                <w:rFonts w:asciiTheme="minorHAnsi" w:hAnsiTheme="minorHAnsi" w:cstheme="minorHAnsi"/>
                <w:b/>
                <w:color w:val="000000" w:themeColor="text1"/>
                <w:szCs w:val="20"/>
              </w:rPr>
              <w:t>Примітки</w:t>
            </w:r>
          </w:p>
        </w:tc>
        <w:tc>
          <w:tcPr>
            <w:tcW w:w="919" w:type="pct"/>
            <w:tcBorders>
              <w:top w:val="nil"/>
              <w:left w:val="nil"/>
              <w:bottom w:val="single" w:sz="4" w:space="0" w:color="auto"/>
              <w:right w:val="nil"/>
            </w:tcBorders>
            <w:vAlign w:val="center"/>
            <w:hideMark/>
          </w:tcPr>
          <w:p w14:paraId="79A34BE5" w14:textId="7D955CBB" w:rsidR="006902ED" w:rsidRPr="00DB0BDE" w:rsidRDefault="006902ED" w:rsidP="006560CE">
            <w:pPr>
              <w:suppressAutoHyphens/>
              <w:jc w:val="center"/>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31.12.20</w:t>
            </w:r>
            <w:r w:rsidR="00DB0BDE" w:rsidRPr="00DB0BDE">
              <w:rPr>
                <w:rFonts w:asciiTheme="minorHAnsi" w:hAnsiTheme="minorHAnsi" w:cstheme="minorHAnsi"/>
                <w:b/>
                <w:bCs/>
                <w:color w:val="000000" w:themeColor="text1"/>
                <w:szCs w:val="20"/>
              </w:rPr>
              <w:t>20</w:t>
            </w:r>
          </w:p>
        </w:tc>
        <w:tc>
          <w:tcPr>
            <w:tcW w:w="919" w:type="pct"/>
            <w:tcBorders>
              <w:top w:val="nil"/>
              <w:left w:val="nil"/>
              <w:bottom w:val="single" w:sz="4" w:space="0" w:color="auto"/>
              <w:right w:val="nil"/>
            </w:tcBorders>
            <w:vAlign w:val="center"/>
          </w:tcPr>
          <w:p w14:paraId="0318A4C6" w14:textId="6FF85DBA" w:rsidR="006902ED" w:rsidRPr="00DB0BDE" w:rsidRDefault="006902ED" w:rsidP="006560CE">
            <w:pPr>
              <w:suppressAutoHyphens/>
              <w:jc w:val="center"/>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31.12.20</w:t>
            </w:r>
            <w:r w:rsidR="00DB0BDE" w:rsidRPr="00DB0BDE">
              <w:rPr>
                <w:rFonts w:asciiTheme="minorHAnsi" w:hAnsiTheme="minorHAnsi" w:cstheme="minorHAnsi"/>
                <w:b/>
                <w:bCs/>
                <w:color w:val="000000" w:themeColor="text1"/>
                <w:szCs w:val="20"/>
              </w:rPr>
              <w:t>19 (перераховано)</w:t>
            </w:r>
          </w:p>
        </w:tc>
      </w:tr>
      <w:tr w:rsidR="00DB0BDE" w:rsidRPr="00DB0BDE" w14:paraId="0AB44053" w14:textId="77777777" w:rsidTr="008732F7">
        <w:trPr>
          <w:trHeight w:val="255"/>
        </w:trPr>
        <w:tc>
          <w:tcPr>
            <w:tcW w:w="2501" w:type="pct"/>
            <w:tcBorders>
              <w:top w:val="single" w:sz="4" w:space="0" w:color="auto"/>
              <w:left w:val="nil"/>
            </w:tcBorders>
            <w:vAlign w:val="center"/>
            <w:hideMark/>
          </w:tcPr>
          <w:p w14:paraId="3F2D0CC6" w14:textId="38D89067" w:rsidR="00DB0BDE" w:rsidRPr="00DB0BDE" w:rsidRDefault="00DB0BDE" w:rsidP="00DB0BDE">
            <w:pPr>
              <w:pStyle w:val="af7"/>
              <w:spacing w:before="0" w:after="0"/>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Випущений капітал</w:t>
            </w:r>
          </w:p>
        </w:tc>
        <w:tc>
          <w:tcPr>
            <w:tcW w:w="661" w:type="pct"/>
            <w:tcBorders>
              <w:top w:val="single" w:sz="4" w:space="0" w:color="auto"/>
              <w:right w:val="nil"/>
            </w:tcBorders>
            <w:vAlign w:val="center"/>
          </w:tcPr>
          <w:p w14:paraId="3E4FE91D" w14:textId="1902A220" w:rsidR="00DB0BDE" w:rsidRPr="00DB0BDE" w:rsidRDefault="00DB0BDE" w:rsidP="00DB0BDE">
            <w:pPr>
              <w:pStyle w:val="af7"/>
              <w:spacing w:before="0" w:after="0"/>
              <w:jc w:val="center"/>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17</w:t>
            </w:r>
          </w:p>
        </w:tc>
        <w:tc>
          <w:tcPr>
            <w:tcW w:w="919" w:type="pct"/>
            <w:tcBorders>
              <w:top w:val="single" w:sz="4" w:space="0" w:color="auto"/>
              <w:left w:val="nil"/>
              <w:right w:val="nil"/>
            </w:tcBorders>
            <w:vAlign w:val="center"/>
          </w:tcPr>
          <w:p w14:paraId="1AAEC791" w14:textId="757959EF"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76 600 </w:t>
            </w:r>
          </w:p>
        </w:tc>
        <w:tc>
          <w:tcPr>
            <w:tcW w:w="919" w:type="pct"/>
            <w:tcBorders>
              <w:top w:val="single" w:sz="4" w:space="0" w:color="auto"/>
              <w:left w:val="nil"/>
              <w:right w:val="nil"/>
            </w:tcBorders>
            <w:vAlign w:val="center"/>
          </w:tcPr>
          <w:p w14:paraId="3E2ACAD6" w14:textId="25ED9A9A"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76 600 </w:t>
            </w:r>
          </w:p>
        </w:tc>
      </w:tr>
      <w:tr w:rsidR="00DB0BDE" w:rsidRPr="00DB0BDE" w14:paraId="13CE5E2A" w14:textId="77777777" w:rsidTr="008732F7">
        <w:trPr>
          <w:trHeight w:val="255"/>
        </w:trPr>
        <w:tc>
          <w:tcPr>
            <w:tcW w:w="2501" w:type="pct"/>
            <w:vAlign w:val="center"/>
            <w:hideMark/>
          </w:tcPr>
          <w:p w14:paraId="42DE2F9A" w14:textId="65DE9520" w:rsidR="00DB0BDE" w:rsidRPr="00DB0BDE" w:rsidRDefault="00DB0BDE" w:rsidP="00DB0BDE">
            <w:pPr>
              <w:pStyle w:val="af7"/>
              <w:spacing w:before="0" w:after="0"/>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Нерозподілений прибуток (збиток)</w:t>
            </w:r>
          </w:p>
        </w:tc>
        <w:tc>
          <w:tcPr>
            <w:tcW w:w="661" w:type="pct"/>
            <w:vAlign w:val="center"/>
          </w:tcPr>
          <w:p w14:paraId="60D4F17F" w14:textId="77777777" w:rsidR="00DB0BDE" w:rsidRPr="00DB0BDE" w:rsidRDefault="00DB0BDE" w:rsidP="00DB0BDE">
            <w:pPr>
              <w:pStyle w:val="af7"/>
              <w:spacing w:before="0" w:after="0"/>
              <w:jc w:val="center"/>
              <w:rPr>
                <w:rFonts w:asciiTheme="minorHAnsi" w:hAnsiTheme="minorHAnsi" w:cstheme="minorHAnsi"/>
                <w:color w:val="000000" w:themeColor="text1"/>
                <w:szCs w:val="20"/>
              </w:rPr>
            </w:pPr>
          </w:p>
        </w:tc>
        <w:tc>
          <w:tcPr>
            <w:tcW w:w="919" w:type="pct"/>
            <w:vAlign w:val="center"/>
          </w:tcPr>
          <w:p w14:paraId="64418B12" w14:textId="0BCE1CAB" w:rsidR="00DB0BDE" w:rsidRPr="00DB0BDE" w:rsidRDefault="00DB0BDE" w:rsidP="00DB0BDE">
            <w:pPr>
              <w:jc w:val="right"/>
              <w:rPr>
                <w:rFonts w:asciiTheme="minorHAnsi" w:hAnsiTheme="minorHAnsi" w:cstheme="minorHAnsi"/>
                <w:color w:val="000000" w:themeColor="text1"/>
                <w:szCs w:val="20"/>
                <w:lang w:val="ru-RU"/>
              </w:rPr>
            </w:pPr>
            <w:r w:rsidRPr="00DB0BDE">
              <w:rPr>
                <w:color w:val="000000" w:themeColor="text1"/>
                <w:szCs w:val="20"/>
              </w:rPr>
              <w:t xml:space="preserve">626 243 </w:t>
            </w:r>
          </w:p>
        </w:tc>
        <w:tc>
          <w:tcPr>
            <w:tcW w:w="919" w:type="pct"/>
            <w:vAlign w:val="center"/>
          </w:tcPr>
          <w:p w14:paraId="41812DFF" w14:textId="6D000D79"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592 911 </w:t>
            </w:r>
          </w:p>
        </w:tc>
      </w:tr>
      <w:tr w:rsidR="00DB0BDE" w:rsidRPr="00DB0BDE" w14:paraId="37B135CC" w14:textId="77777777" w:rsidTr="008732F7">
        <w:trPr>
          <w:trHeight w:val="255"/>
        </w:trPr>
        <w:tc>
          <w:tcPr>
            <w:tcW w:w="2501" w:type="pct"/>
            <w:tcBorders>
              <w:top w:val="single" w:sz="4" w:space="0" w:color="auto"/>
              <w:bottom w:val="single" w:sz="4" w:space="0" w:color="auto"/>
            </w:tcBorders>
            <w:vAlign w:val="center"/>
            <w:hideMark/>
          </w:tcPr>
          <w:p w14:paraId="426BBE3E" w14:textId="23A1907D" w:rsidR="00DB0BDE" w:rsidRPr="00DB0BDE" w:rsidRDefault="00DB0BDE" w:rsidP="00DB0BDE">
            <w:pPr>
              <w:pStyle w:val="af7"/>
              <w:spacing w:before="0" w:after="0"/>
              <w:jc w:val="left"/>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Разом власного капіталу</w:t>
            </w:r>
          </w:p>
        </w:tc>
        <w:tc>
          <w:tcPr>
            <w:tcW w:w="661" w:type="pct"/>
            <w:tcBorders>
              <w:top w:val="single" w:sz="4" w:space="0" w:color="auto"/>
              <w:bottom w:val="single" w:sz="4" w:space="0" w:color="auto"/>
            </w:tcBorders>
            <w:vAlign w:val="center"/>
          </w:tcPr>
          <w:p w14:paraId="3A6E29C4" w14:textId="77777777" w:rsidR="00DB0BDE" w:rsidRPr="00DB0BDE" w:rsidRDefault="00DB0BDE" w:rsidP="00DB0BDE">
            <w:pPr>
              <w:pStyle w:val="af7"/>
              <w:spacing w:before="0" w:after="0"/>
              <w:jc w:val="center"/>
              <w:rPr>
                <w:rFonts w:asciiTheme="minorHAnsi" w:hAnsiTheme="minorHAnsi" w:cstheme="minorHAnsi"/>
                <w:color w:val="000000" w:themeColor="text1"/>
                <w:szCs w:val="20"/>
              </w:rPr>
            </w:pPr>
          </w:p>
        </w:tc>
        <w:tc>
          <w:tcPr>
            <w:tcW w:w="919" w:type="pct"/>
            <w:tcBorders>
              <w:top w:val="single" w:sz="4" w:space="0" w:color="auto"/>
              <w:bottom w:val="single" w:sz="4" w:space="0" w:color="auto"/>
            </w:tcBorders>
            <w:vAlign w:val="center"/>
          </w:tcPr>
          <w:p w14:paraId="2F45047E" w14:textId="784EEDAF" w:rsidR="00DB0BDE" w:rsidRPr="00DB0BDE" w:rsidRDefault="00DB0BDE" w:rsidP="00DB0BDE">
            <w:pPr>
              <w:jc w:val="right"/>
              <w:rPr>
                <w:rFonts w:asciiTheme="minorHAnsi" w:hAnsiTheme="minorHAnsi" w:cstheme="minorHAnsi"/>
                <w:b/>
                <w:bCs/>
                <w:color w:val="000000" w:themeColor="text1"/>
                <w:szCs w:val="20"/>
                <w:lang w:val="ru-RU"/>
              </w:rPr>
            </w:pPr>
            <w:r w:rsidRPr="00DB0BDE">
              <w:rPr>
                <w:b/>
                <w:bCs/>
                <w:color w:val="000000" w:themeColor="text1"/>
                <w:szCs w:val="20"/>
              </w:rPr>
              <w:t xml:space="preserve">702 843 </w:t>
            </w:r>
          </w:p>
        </w:tc>
        <w:tc>
          <w:tcPr>
            <w:tcW w:w="919" w:type="pct"/>
            <w:tcBorders>
              <w:top w:val="single" w:sz="4" w:space="0" w:color="auto"/>
              <w:bottom w:val="single" w:sz="4" w:space="0" w:color="auto"/>
            </w:tcBorders>
            <w:vAlign w:val="center"/>
          </w:tcPr>
          <w:p w14:paraId="05CA29C6" w14:textId="19235B03" w:rsidR="00DB0BDE" w:rsidRPr="00DB0BDE" w:rsidRDefault="00DB0BDE" w:rsidP="00DB0BDE">
            <w:pPr>
              <w:jc w:val="right"/>
              <w:rPr>
                <w:rFonts w:asciiTheme="minorHAnsi" w:hAnsiTheme="minorHAnsi" w:cstheme="minorHAnsi"/>
                <w:b/>
                <w:bCs/>
                <w:color w:val="000000" w:themeColor="text1"/>
                <w:szCs w:val="20"/>
              </w:rPr>
            </w:pPr>
            <w:r w:rsidRPr="00DB0BDE">
              <w:rPr>
                <w:b/>
                <w:bCs/>
                <w:color w:val="000000" w:themeColor="text1"/>
                <w:szCs w:val="20"/>
              </w:rPr>
              <w:t xml:space="preserve">669 511 </w:t>
            </w:r>
          </w:p>
        </w:tc>
      </w:tr>
      <w:tr w:rsidR="00DB0BDE" w:rsidRPr="008756CD" w14:paraId="5B7FBE08" w14:textId="77777777" w:rsidTr="008732F7">
        <w:trPr>
          <w:trHeight w:val="255"/>
        </w:trPr>
        <w:tc>
          <w:tcPr>
            <w:tcW w:w="2501" w:type="pct"/>
            <w:tcBorders>
              <w:top w:val="single" w:sz="4" w:space="0" w:color="auto"/>
            </w:tcBorders>
            <w:vAlign w:val="center"/>
            <w:hideMark/>
          </w:tcPr>
          <w:p w14:paraId="246994AC" w14:textId="086B2185" w:rsidR="00DB0BDE" w:rsidRPr="00DB0BDE" w:rsidRDefault="00DB0BDE" w:rsidP="00DB0BDE">
            <w:pPr>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 xml:space="preserve">Довгострокові зобов'язання </w:t>
            </w:r>
          </w:p>
        </w:tc>
        <w:tc>
          <w:tcPr>
            <w:tcW w:w="661" w:type="pct"/>
            <w:tcBorders>
              <w:top w:val="single" w:sz="4" w:space="0" w:color="auto"/>
            </w:tcBorders>
            <w:vAlign w:val="center"/>
          </w:tcPr>
          <w:p w14:paraId="017961DB" w14:textId="5BA2A7F1" w:rsidR="00DB0BDE" w:rsidRPr="00DB0BDE" w:rsidRDefault="00DB0BDE" w:rsidP="00DB0BDE">
            <w:pPr>
              <w:pStyle w:val="af7"/>
              <w:spacing w:before="0" w:after="0"/>
              <w:jc w:val="center"/>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18</w:t>
            </w:r>
          </w:p>
        </w:tc>
        <w:tc>
          <w:tcPr>
            <w:tcW w:w="919" w:type="pct"/>
            <w:tcBorders>
              <w:top w:val="single" w:sz="4" w:space="0" w:color="auto"/>
            </w:tcBorders>
            <w:vAlign w:val="center"/>
          </w:tcPr>
          <w:p w14:paraId="28ABBA18" w14:textId="6B1BD6F7"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21 296 </w:t>
            </w:r>
          </w:p>
        </w:tc>
        <w:tc>
          <w:tcPr>
            <w:tcW w:w="919" w:type="pct"/>
            <w:tcBorders>
              <w:top w:val="single" w:sz="4" w:space="0" w:color="auto"/>
            </w:tcBorders>
            <w:vAlign w:val="center"/>
          </w:tcPr>
          <w:p w14:paraId="5F0EF2A6" w14:textId="23D4022A"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23 156 </w:t>
            </w:r>
          </w:p>
        </w:tc>
      </w:tr>
      <w:tr w:rsidR="00DB0BDE" w:rsidRPr="008756CD" w14:paraId="7E8BCF1D" w14:textId="77777777" w:rsidTr="008732F7">
        <w:trPr>
          <w:trHeight w:val="255"/>
        </w:trPr>
        <w:tc>
          <w:tcPr>
            <w:tcW w:w="2501" w:type="pct"/>
            <w:vAlign w:val="center"/>
            <w:hideMark/>
          </w:tcPr>
          <w:p w14:paraId="4EAA1478" w14:textId="2D422389" w:rsidR="00DB0BDE" w:rsidRPr="00DB0BDE" w:rsidRDefault="00DB0BDE" w:rsidP="00DB0BDE">
            <w:pPr>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Короткострокові кредити та поточна частина довгострокових</w:t>
            </w:r>
          </w:p>
        </w:tc>
        <w:tc>
          <w:tcPr>
            <w:tcW w:w="661" w:type="pct"/>
            <w:vAlign w:val="center"/>
          </w:tcPr>
          <w:p w14:paraId="6DE01815" w14:textId="41D93985" w:rsidR="00DB0BDE" w:rsidRPr="00DB0BDE" w:rsidRDefault="00DB0BDE" w:rsidP="00DB0BDE">
            <w:pPr>
              <w:pStyle w:val="af7"/>
              <w:spacing w:before="0" w:after="0"/>
              <w:jc w:val="center"/>
              <w:rPr>
                <w:rFonts w:asciiTheme="minorHAnsi" w:hAnsiTheme="minorHAnsi" w:cstheme="minorHAnsi"/>
                <w:color w:val="000000" w:themeColor="text1"/>
                <w:szCs w:val="20"/>
                <w:lang w:val="en-US"/>
              </w:rPr>
            </w:pPr>
            <w:r w:rsidRPr="00DB0BDE">
              <w:rPr>
                <w:rFonts w:asciiTheme="minorHAnsi" w:hAnsiTheme="minorHAnsi" w:cstheme="minorHAnsi"/>
                <w:color w:val="000000" w:themeColor="text1"/>
                <w:szCs w:val="20"/>
              </w:rPr>
              <w:t>18</w:t>
            </w:r>
          </w:p>
        </w:tc>
        <w:tc>
          <w:tcPr>
            <w:tcW w:w="919" w:type="pct"/>
            <w:vAlign w:val="center"/>
          </w:tcPr>
          <w:p w14:paraId="4908CB53" w14:textId="14EC9B32"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532 692 </w:t>
            </w:r>
          </w:p>
        </w:tc>
        <w:tc>
          <w:tcPr>
            <w:tcW w:w="919" w:type="pct"/>
            <w:vAlign w:val="center"/>
          </w:tcPr>
          <w:p w14:paraId="716D05FE" w14:textId="63C54A93"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532 692 </w:t>
            </w:r>
          </w:p>
        </w:tc>
      </w:tr>
      <w:tr w:rsidR="00DB0BDE" w:rsidRPr="008756CD" w14:paraId="400D41D0" w14:textId="77777777" w:rsidTr="008732F7">
        <w:trPr>
          <w:trHeight w:val="255"/>
        </w:trPr>
        <w:tc>
          <w:tcPr>
            <w:tcW w:w="2501" w:type="pct"/>
            <w:vAlign w:val="center"/>
            <w:hideMark/>
          </w:tcPr>
          <w:p w14:paraId="549596D3" w14:textId="5F7583A2" w:rsidR="00DB0BDE" w:rsidRPr="00DB0BDE" w:rsidRDefault="00DB0BDE" w:rsidP="00DB0BDE">
            <w:pPr>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Торговельна кредиторська заборгованість</w:t>
            </w:r>
          </w:p>
        </w:tc>
        <w:tc>
          <w:tcPr>
            <w:tcW w:w="661" w:type="pct"/>
            <w:vAlign w:val="center"/>
          </w:tcPr>
          <w:p w14:paraId="09C81045" w14:textId="0A6B354B" w:rsidR="00DB0BDE" w:rsidRPr="00DB0BDE" w:rsidRDefault="00DB0BDE" w:rsidP="00DB0BDE">
            <w:pPr>
              <w:pStyle w:val="af7"/>
              <w:spacing w:before="0" w:after="0"/>
              <w:jc w:val="center"/>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20</w:t>
            </w:r>
          </w:p>
        </w:tc>
        <w:tc>
          <w:tcPr>
            <w:tcW w:w="919" w:type="pct"/>
            <w:vAlign w:val="center"/>
          </w:tcPr>
          <w:p w14:paraId="5B24E4F5" w14:textId="3652A10F"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125 350 </w:t>
            </w:r>
          </w:p>
        </w:tc>
        <w:tc>
          <w:tcPr>
            <w:tcW w:w="919" w:type="pct"/>
            <w:vAlign w:val="center"/>
          </w:tcPr>
          <w:p w14:paraId="31706631" w14:textId="4F31163C"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107 687 </w:t>
            </w:r>
          </w:p>
        </w:tc>
      </w:tr>
      <w:tr w:rsidR="00DB0BDE" w:rsidRPr="008756CD" w14:paraId="7D69E41E" w14:textId="77777777" w:rsidTr="008732F7">
        <w:trPr>
          <w:trHeight w:val="255"/>
        </w:trPr>
        <w:tc>
          <w:tcPr>
            <w:tcW w:w="2501" w:type="pct"/>
            <w:tcBorders>
              <w:top w:val="nil"/>
              <w:left w:val="nil"/>
            </w:tcBorders>
            <w:vAlign w:val="center"/>
            <w:hideMark/>
          </w:tcPr>
          <w:p w14:paraId="57A2A480" w14:textId="6FAECCD2" w:rsidR="00DB0BDE" w:rsidRPr="00DB0BDE" w:rsidRDefault="00DB0BDE" w:rsidP="00DB0BDE">
            <w:pPr>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Забезпечення</w:t>
            </w:r>
          </w:p>
        </w:tc>
        <w:tc>
          <w:tcPr>
            <w:tcW w:w="661" w:type="pct"/>
            <w:tcBorders>
              <w:top w:val="nil"/>
              <w:right w:val="nil"/>
            </w:tcBorders>
            <w:vAlign w:val="center"/>
          </w:tcPr>
          <w:p w14:paraId="158D9779" w14:textId="16373F27" w:rsidR="00DB0BDE" w:rsidRPr="00DB0BDE" w:rsidRDefault="00DB0BDE" w:rsidP="00DB0BDE">
            <w:pPr>
              <w:pStyle w:val="af7"/>
              <w:spacing w:before="0" w:after="0"/>
              <w:jc w:val="center"/>
              <w:rPr>
                <w:rFonts w:asciiTheme="minorHAnsi" w:hAnsiTheme="minorHAnsi" w:cstheme="minorHAnsi"/>
                <w:color w:val="000000" w:themeColor="text1"/>
                <w:szCs w:val="20"/>
                <w:lang w:val="en-US"/>
              </w:rPr>
            </w:pPr>
            <w:r w:rsidRPr="00DB0BDE">
              <w:rPr>
                <w:rFonts w:asciiTheme="minorHAnsi" w:hAnsiTheme="minorHAnsi" w:cstheme="minorHAnsi"/>
                <w:color w:val="000000" w:themeColor="text1"/>
                <w:szCs w:val="20"/>
              </w:rPr>
              <w:t>19</w:t>
            </w:r>
          </w:p>
        </w:tc>
        <w:tc>
          <w:tcPr>
            <w:tcW w:w="919" w:type="pct"/>
            <w:tcBorders>
              <w:top w:val="nil"/>
              <w:left w:val="nil"/>
              <w:right w:val="nil"/>
            </w:tcBorders>
            <w:vAlign w:val="center"/>
          </w:tcPr>
          <w:p w14:paraId="73F8AFAE" w14:textId="70744C84"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25 492 </w:t>
            </w:r>
          </w:p>
        </w:tc>
        <w:tc>
          <w:tcPr>
            <w:tcW w:w="919" w:type="pct"/>
            <w:tcBorders>
              <w:top w:val="nil"/>
              <w:left w:val="nil"/>
              <w:right w:val="nil"/>
            </w:tcBorders>
            <w:vAlign w:val="center"/>
          </w:tcPr>
          <w:p w14:paraId="2678A54B" w14:textId="09381281"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27 097 </w:t>
            </w:r>
          </w:p>
        </w:tc>
      </w:tr>
      <w:tr w:rsidR="00DB0BDE" w:rsidRPr="008756CD" w14:paraId="3244C6B0" w14:textId="77777777" w:rsidTr="008732F7">
        <w:trPr>
          <w:trHeight w:val="255"/>
        </w:trPr>
        <w:tc>
          <w:tcPr>
            <w:tcW w:w="2501" w:type="pct"/>
            <w:tcBorders>
              <w:top w:val="nil"/>
              <w:left w:val="nil"/>
              <w:bottom w:val="single" w:sz="4" w:space="0" w:color="auto"/>
            </w:tcBorders>
            <w:vAlign w:val="center"/>
          </w:tcPr>
          <w:p w14:paraId="626143BD" w14:textId="00E985E1" w:rsidR="00DB0BDE" w:rsidRPr="00DB0BDE" w:rsidRDefault="00DB0BDE" w:rsidP="00DB0BDE">
            <w:pPr>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lastRenderedPageBreak/>
              <w:t>Інші зобов'язання</w:t>
            </w:r>
          </w:p>
        </w:tc>
        <w:tc>
          <w:tcPr>
            <w:tcW w:w="661" w:type="pct"/>
            <w:tcBorders>
              <w:top w:val="nil"/>
              <w:bottom w:val="single" w:sz="4" w:space="0" w:color="auto"/>
              <w:right w:val="nil"/>
            </w:tcBorders>
            <w:vAlign w:val="center"/>
          </w:tcPr>
          <w:p w14:paraId="487098C7" w14:textId="307856C3" w:rsidR="00DB0BDE" w:rsidRPr="00DB0BDE" w:rsidRDefault="00DB0BDE" w:rsidP="00DB0BDE">
            <w:pPr>
              <w:pStyle w:val="af7"/>
              <w:spacing w:before="0" w:after="0"/>
              <w:jc w:val="center"/>
              <w:rPr>
                <w:rFonts w:asciiTheme="minorHAnsi" w:hAnsiTheme="minorHAnsi" w:cstheme="minorHAnsi"/>
                <w:color w:val="000000" w:themeColor="text1"/>
                <w:szCs w:val="20"/>
                <w:lang w:val="en-US"/>
              </w:rPr>
            </w:pPr>
            <w:r w:rsidRPr="00DB0BDE">
              <w:rPr>
                <w:rFonts w:asciiTheme="minorHAnsi" w:hAnsiTheme="minorHAnsi" w:cstheme="minorHAnsi"/>
                <w:color w:val="000000" w:themeColor="text1"/>
                <w:szCs w:val="20"/>
              </w:rPr>
              <w:t>20</w:t>
            </w:r>
          </w:p>
        </w:tc>
        <w:tc>
          <w:tcPr>
            <w:tcW w:w="919" w:type="pct"/>
            <w:tcBorders>
              <w:top w:val="nil"/>
              <w:left w:val="nil"/>
              <w:bottom w:val="single" w:sz="4" w:space="0" w:color="auto"/>
              <w:right w:val="nil"/>
            </w:tcBorders>
            <w:vAlign w:val="center"/>
          </w:tcPr>
          <w:p w14:paraId="22A1F272" w14:textId="70519212" w:rsidR="00DB0BDE" w:rsidRPr="00DB0BDE" w:rsidRDefault="00DB0BDE" w:rsidP="00DB0BDE">
            <w:pPr>
              <w:jc w:val="right"/>
              <w:rPr>
                <w:rFonts w:asciiTheme="minorHAnsi" w:hAnsiTheme="minorHAnsi" w:cstheme="minorHAnsi"/>
                <w:color w:val="000000" w:themeColor="text1"/>
                <w:szCs w:val="20"/>
                <w:lang w:val="en-US"/>
              </w:rPr>
            </w:pPr>
            <w:r w:rsidRPr="00DB0BDE">
              <w:rPr>
                <w:color w:val="000000" w:themeColor="text1"/>
                <w:szCs w:val="20"/>
              </w:rPr>
              <w:t xml:space="preserve">989 490 </w:t>
            </w:r>
          </w:p>
        </w:tc>
        <w:tc>
          <w:tcPr>
            <w:tcW w:w="919" w:type="pct"/>
            <w:tcBorders>
              <w:top w:val="nil"/>
              <w:left w:val="nil"/>
              <w:bottom w:val="single" w:sz="4" w:space="0" w:color="auto"/>
              <w:right w:val="nil"/>
            </w:tcBorders>
            <w:vAlign w:val="center"/>
          </w:tcPr>
          <w:p w14:paraId="39DEC553" w14:textId="399752EA"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861 840 </w:t>
            </w:r>
          </w:p>
        </w:tc>
      </w:tr>
      <w:tr w:rsidR="00DB0BDE" w:rsidRPr="008756CD" w14:paraId="2A506682" w14:textId="77777777" w:rsidTr="008732F7">
        <w:trPr>
          <w:trHeight w:val="255"/>
        </w:trPr>
        <w:tc>
          <w:tcPr>
            <w:tcW w:w="2501" w:type="pct"/>
            <w:tcBorders>
              <w:top w:val="single" w:sz="4" w:space="0" w:color="auto"/>
              <w:left w:val="nil"/>
              <w:bottom w:val="nil"/>
            </w:tcBorders>
            <w:vAlign w:val="center"/>
            <w:hideMark/>
          </w:tcPr>
          <w:p w14:paraId="138716FF" w14:textId="35CC1945" w:rsidR="00DB0BDE" w:rsidRPr="00DB0BDE" w:rsidRDefault="00DB0BDE" w:rsidP="00DB0BDE">
            <w:pPr>
              <w:pStyle w:val="af7"/>
              <w:spacing w:before="0" w:after="0"/>
              <w:jc w:val="left"/>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Загальна сума позичених коштів</w:t>
            </w:r>
          </w:p>
        </w:tc>
        <w:tc>
          <w:tcPr>
            <w:tcW w:w="661" w:type="pct"/>
            <w:tcBorders>
              <w:top w:val="single" w:sz="4" w:space="0" w:color="auto"/>
              <w:bottom w:val="nil"/>
              <w:right w:val="nil"/>
            </w:tcBorders>
            <w:vAlign w:val="center"/>
          </w:tcPr>
          <w:p w14:paraId="4089EBEF" w14:textId="77777777" w:rsidR="00DB0BDE" w:rsidRPr="00DB0BDE" w:rsidRDefault="00DB0BDE" w:rsidP="00DB0BDE">
            <w:pPr>
              <w:pStyle w:val="af7"/>
              <w:spacing w:before="0" w:after="0"/>
              <w:jc w:val="center"/>
              <w:rPr>
                <w:rFonts w:asciiTheme="minorHAnsi" w:hAnsiTheme="minorHAnsi" w:cstheme="minorHAnsi"/>
                <w:color w:val="000000" w:themeColor="text1"/>
                <w:szCs w:val="20"/>
              </w:rPr>
            </w:pPr>
          </w:p>
        </w:tc>
        <w:tc>
          <w:tcPr>
            <w:tcW w:w="919" w:type="pct"/>
            <w:tcBorders>
              <w:top w:val="single" w:sz="4" w:space="0" w:color="auto"/>
              <w:left w:val="nil"/>
              <w:bottom w:val="nil"/>
              <w:right w:val="nil"/>
            </w:tcBorders>
            <w:vAlign w:val="center"/>
          </w:tcPr>
          <w:p w14:paraId="062D0B9D" w14:textId="68A8316D" w:rsidR="00DB0BDE" w:rsidRPr="00DB0BDE" w:rsidRDefault="00DB0BDE" w:rsidP="00DB0BDE">
            <w:pPr>
              <w:jc w:val="right"/>
              <w:rPr>
                <w:rFonts w:asciiTheme="minorHAnsi" w:hAnsiTheme="minorHAnsi" w:cstheme="minorHAnsi"/>
                <w:b/>
                <w:bCs/>
                <w:color w:val="000000" w:themeColor="text1"/>
                <w:szCs w:val="20"/>
                <w:lang w:val="en-US"/>
              </w:rPr>
            </w:pPr>
            <w:r w:rsidRPr="00DB0BDE">
              <w:rPr>
                <w:b/>
                <w:bCs/>
                <w:color w:val="000000" w:themeColor="text1"/>
                <w:szCs w:val="20"/>
              </w:rPr>
              <w:t xml:space="preserve">1 694 320 </w:t>
            </w:r>
          </w:p>
        </w:tc>
        <w:tc>
          <w:tcPr>
            <w:tcW w:w="919" w:type="pct"/>
            <w:tcBorders>
              <w:top w:val="single" w:sz="4" w:space="0" w:color="auto"/>
              <w:left w:val="nil"/>
              <w:bottom w:val="nil"/>
              <w:right w:val="nil"/>
            </w:tcBorders>
            <w:vAlign w:val="center"/>
          </w:tcPr>
          <w:p w14:paraId="09234D12" w14:textId="5278FA1F" w:rsidR="00DB0BDE" w:rsidRPr="00DB0BDE" w:rsidRDefault="00DB0BDE" w:rsidP="00DB0BDE">
            <w:pPr>
              <w:jc w:val="right"/>
              <w:rPr>
                <w:rFonts w:asciiTheme="minorHAnsi" w:hAnsiTheme="minorHAnsi" w:cstheme="minorHAnsi"/>
                <w:b/>
                <w:bCs/>
                <w:color w:val="000000" w:themeColor="text1"/>
                <w:szCs w:val="20"/>
              </w:rPr>
            </w:pPr>
            <w:r w:rsidRPr="00DB0BDE">
              <w:rPr>
                <w:b/>
                <w:bCs/>
                <w:color w:val="000000" w:themeColor="text1"/>
                <w:szCs w:val="20"/>
              </w:rPr>
              <w:t xml:space="preserve">1 552 472 </w:t>
            </w:r>
          </w:p>
        </w:tc>
      </w:tr>
      <w:tr w:rsidR="00DB0BDE" w:rsidRPr="008756CD" w14:paraId="7034FE59" w14:textId="77777777" w:rsidTr="00DB0BDE">
        <w:trPr>
          <w:trHeight w:val="214"/>
        </w:trPr>
        <w:tc>
          <w:tcPr>
            <w:tcW w:w="2501" w:type="pct"/>
            <w:vAlign w:val="center"/>
            <w:hideMark/>
          </w:tcPr>
          <w:p w14:paraId="69796131" w14:textId="75CB5E59" w:rsidR="00DB0BDE" w:rsidRPr="00DB0BDE" w:rsidRDefault="00DB0BDE" w:rsidP="00DB0BDE">
            <w:pPr>
              <w:pStyle w:val="af7"/>
              <w:spacing w:before="0" w:after="0"/>
              <w:jc w:val="left"/>
              <w:rPr>
                <w:rFonts w:asciiTheme="minorHAnsi" w:hAnsiTheme="minorHAnsi" w:cstheme="minorHAnsi"/>
                <w:color w:val="000000" w:themeColor="text1"/>
                <w:szCs w:val="20"/>
              </w:rPr>
            </w:pPr>
            <w:r w:rsidRPr="00DB0BDE">
              <w:rPr>
                <w:rFonts w:asciiTheme="minorHAnsi" w:hAnsiTheme="minorHAnsi" w:cstheme="minorHAnsi"/>
                <w:color w:val="000000" w:themeColor="text1"/>
                <w:szCs w:val="20"/>
              </w:rPr>
              <w:t>Грошові кошти та їх еквіваленти</w:t>
            </w:r>
          </w:p>
        </w:tc>
        <w:tc>
          <w:tcPr>
            <w:tcW w:w="661" w:type="pct"/>
            <w:vAlign w:val="center"/>
          </w:tcPr>
          <w:p w14:paraId="70927814" w14:textId="5CA5AEEE" w:rsidR="00DB0BDE" w:rsidRPr="00DB0BDE" w:rsidRDefault="00DB0BDE" w:rsidP="00DB0BDE">
            <w:pPr>
              <w:pStyle w:val="af7"/>
              <w:spacing w:before="0" w:after="0"/>
              <w:jc w:val="center"/>
              <w:rPr>
                <w:rFonts w:asciiTheme="minorHAnsi" w:hAnsiTheme="minorHAnsi" w:cstheme="minorHAnsi"/>
                <w:color w:val="000000" w:themeColor="text1"/>
                <w:szCs w:val="20"/>
                <w:lang w:val="en-US"/>
              </w:rPr>
            </w:pPr>
            <w:r w:rsidRPr="00DB0BDE">
              <w:rPr>
                <w:rFonts w:asciiTheme="minorHAnsi" w:hAnsiTheme="minorHAnsi" w:cstheme="minorHAnsi"/>
                <w:color w:val="000000" w:themeColor="text1"/>
                <w:szCs w:val="20"/>
              </w:rPr>
              <w:t>15</w:t>
            </w:r>
          </w:p>
        </w:tc>
        <w:tc>
          <w:tcPr>
            <w:tcW w:w="919" w:type="pct"/>
            <w:vAlign w:val="center"/>
          </w:tcPr>
          <w:p w14:paraId="3E158AF5" w14:textId="3F454A5C"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11 960 </w:t>
            </w:r>
          </w:p>
        </w:tc>
        <w:tc>
          <w:tcPr>
            <w:tcW w:w="919" w:type="pct"/>
            <w:vAlign w:val="center"/>
          </w:tcPr>
          <w:p w14:paraId="5B809DDD" w14:textId="2F7B0C47" w:rsidR="00DB0BDE" w:rsidRPr="00DB0BDE" w:rsidRDefault="00DB0BDE" w:rsidP="00DB0BDE">
            <w:pPr>
              <w:jc w:val="right"/>
              <w:rPr>
                <w:rFonts w:asciiTheme="minorHAnsi" w:hAnsiTheme="minorHAnsi" w:cstheme="minorHAnsi"/>
                <w:color w:val="000000" w:themeColor="text1"/>
                <w:szCs w:val="20"/>
              </w:rPr>
            </w:pPr>
            <w:r w:rsidRPr="00DB0BDE">
              <w:rPr>
                <w:color w:val="000000" w:themeColor="text1"/>
                <w:szCs w:val="20"/>
              </w:rPr>
              <w:t xml:space="preserve">11 432 </w:t>
            </w:r>
          </w:p>
        </w:tc>
      </w:tr>
      <w:tr w:rsidR="00DB0BDE" w:rsidRPr="008756CD" w14:paraId="1B86244C" w14:textId="77777777" w:rsidTr="008732F7">
        <w:trPr>
          <w:trHeight w:val="255"/>
        </w:trPr>
        <w:tc>
          <w:tcPr>
            <w:tcW w:w="2501" w:type="pct"/>
            <w:tcBorders>
              <w:top w:val="nil"/>
              <w:left w:val="nil"/>
              <w:bottom w:val="single" w:sz="4" w:space="0" w:color="auto"/>
            </w:tcBorders>
            <w:vAlign w:val="center"/>
            <w:hideMark/>
          </w:tcPr>
          <w:p w14:paraId="3C0E9F15" w14:textId="1FFC6058" w:rsidR="00DB0BDE" w:rsidRPr="00DB0BDE" w:rsidRDefault="00DB0BDE" w:rsidP="00DB0BDE">
            <w:pPr>
              <w:pStyle w:val="af7"/>
              <w:spacing w:before="0" w:after="0"/>
              <w:jc w:val="left"/>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Чистий борг</w:t>
            </w:r>
          </w:p>
        </w:tc>
        <w:tc>
          <w:tcPr>
            <w:tcW w:w="661" w:type="pct"/>
            <w:tcBorders>
              <w:top w:val="nil"/>
              <w:bottom w:val="single" w:sz="4" w:space="0" w:color="auto"/>
              <w:right w:val="nil"/>
            </w:tcBorders>
            <w:vAlign w:val="center"/>
          </w:tcPr>
          <w:p w14:paraId="17F9C11F" w14:textId="77777777" w:rsidR="00DB0BDE" w:rsidRPr="00DB0BDE" w:rsidRDefault="00DB0BDE" w:rsidP="00DB0BDE">
            <w:pPr>
              <w:pStyle w:val="af7"/>
              <w:spacing w:before="0" w:after="0"/>
              <w:jc w:val="center"/>
              <w:rPr>
                <w:rFonts w:asciiTheme="minorHAnsi" w:hAnsiTheme="minorHAnsi" w:cstheme="minorHAnsi"/>
                <w:color w:val="000000" w:themeColor="text1"/>
                <w:szCs w:val="20"/>
              </w:rPr>
            </w:pPr>
          </w:p>
        </w:tc>
        <w:tc>
          <w:tcPr>
            <w:tcW w:w="919" w:type="pct"/>
            <w:tcBorders>
              <w:top w:val="nil"/>
              <w:left w:val="nil"/>
              <w:bottom w:val="single" w:sz="4" w:space="0" w:color="auto"/>
              <w:right w:val="nil"/>
            </w:tcBorders>
            <w:vAlign w:val="center"/>
          </w:tcPr>
          <w:p w14:paraId="63728997" w14:textId="2C13E42F" w:rsidR="00DB0BDE" w:rsidRPr="00DB0BDE" w:rsidRDefault="00DB0BDE" w:rsidP="00DB0BDE">
            <w:pPr>
              <w:jc w:val="right"/>
              <w:rPr>
                <w:rFonts w:asciiTheme="minorHAnsi" w:hAnsiTheme="minorHAnsi" w:cstheme="minorHAnsi"/>
                <w:b/>
                <w:bCs/>
                <w:color w:val="000000" w:themeColor="text1"/>
                <w:szCs w:val="20"/>
                <w:lang w:val="en-US"/>
              </w:rPr>
            </w:pPr>
            <w:r w:rsidRPr="00DB0BDE">
              <w:rPr>
                <w:b/>
                <w:bCs/>
                <w:color w:val="000000" w:themeColor="text1"/>
                <w:szCs w:val="20"/>
              </w:rPr>
              <w:t xml:space="preserve">1 682 360 </w:t>
            </w:r>
          </w:p>
        </w:tc>
        <w:tc>
          <w:tcPr>
            <w:tcW w:w="919" w:type="pct"/>
            <w:tcBorders>
              <w:top w:val="nil"/>
              <w:left w:val="nil"/>
              <w:bottom w:val="single" w:sz="4" w:space="0" w:color="auto"/>
              <w:right w:val="nil"/>
            </w:tcBorders>
            <w:vAlign w:val="center"/>
          </w:tcPr>
          <w:p w14:paraId="3C156310" w14:textId="3E72169F" w:rsidR="00DB0BDE" w:rsidRPr="00DB0BDE" w:rsidRDefault="00DB0BDE" w:rsidP="00DB0BDE">
            <w:pPr>
              <w:jc w:val="right"/>
              <w:rPr>
                <w:rFonts w:asciiTheme="minorHAnsi" w:hAnsiTheme="minorHAnsi" w:cstheme="minorHAnsi"/>
                <w:b/>
                <w:bCs/>
                <w:color w:val="000000" w:themeColor="text1"/>
                <w:szCs w:val="20"/>
              </w:rPr>
            </w:pPr>
            <w:r w:rsidRPr="00DB0BDE">
              <w:rPr>
                <w:b/>
                <w:bCs/>
                <w:color w:val="000000" w:themeColor="text1"/>
                <w:szCs w:val="20"/>
              </w:rPr>
              <w:t xml:space="preserve">1 541 040 </w:t>
            </w:r>
          </w:p>
        </w:tc>
      </w:tr>
      <w:tr w:rsidR="00DB0BDE" w:rsidRPr="00DB0BDE" w14:paraId="2B6329AF" w14:textId="77777777" w:rsidTr="008732F7">
        <w:trPr>
          <w:trHeight w:val="255"/>
        </w:trPr>
        <w:tc>
          <w:tcPr>
            <w:tcW w:w="2501" w:type="pct"/>
            <w:tcBorders>
              <w:top w:val="single" w:sz="4" w:space="0" w:color="auto"/>
              <w:left w:val="nil"/>
              <w:bottom w:val="single" w:sz="4" w:space="0" w:color="auto"/>
            </w:tcBorders>
            <w:vAlign w:val="center"/>
            <w:hideMark/>
          </w:tcPr>
          <w:p w14:paraId="042B3607" w14:textId="6043A447" w:rsidR="00DB0BDE" w:rsidRPr="00DB0BDE" w:rsidRDefault="00DB0BDE" w:rsidP="00DB0BDE">
            <w:pPr>
              <w:pStyle w:val="af7"/>
              <w:spacing w:before="0" w:after="0"/>
              <w:jc w:val="left"/>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Разом власний капітал та чисти борг</w:t>
            </w:r>
          </w:p>
        </w:tc>
        <w:tc>
          <w:tcPr>
            <w:tcW w:w="661" w:type="pct"/>
            <w:tcBorders>
              <w:top w:val="single" w:sz="4" w:space="0" w:color="auto"/>
              <w:bottom w:val="single" w:sz="4" w:space="0" w:color="auto"/>
              <w:right w:val="nil"/>
            </w:tcBorders>
            <w:vAlign w:val="center"/>
          </w:tcPr>
          <w:p w14:paraId="08C469C9" w14:textId="77777777" w:rsidR="00DB0BDE" w:rsidRPr="00DB0BDE" w:rsidRDefault="00DB0BDE" w:rsidP="00DB0BDE">
            <w:pPr>
              <w:pStyle w:val="af7"/>
              <w:spacing w:before="0" w:after="0"/>
              <w:jc w:val="center"/>
              <w:rPr>
                <w:rFonts w:asciiTheme="minorHAnsi" w:hAnsiTheme="minorHAnsi" w:cstheme="minorHAnsi"/>
                <w:color w:val="000000" w:themeColor="text1"/>
                <w:szCs w:val="20"/>
              </w:rPr>
            </w:pPr>
          </w:p>
        </w:tc>
        <w:tc>
          <w:tcPr>
            <w:tcW w:w="919" w:type="pct"/>
            <w:tcBorders>
              <w:top w:val="single" w:sz="4" w:space="0" w:color="auto"/>
              <w:left w:val="nil"/>
              <w:bottom w:val="single" w:sz="4" w:space="0" w:color="auto"/>
              <w:right w:val="nil"/>
            </w:tcBorders>
            <w:vAlign w:val="center"/>
          </w:tcPr>
          <w:p w14:paraId="721B032E" w14:textId="33A50C42" w:rsidR="00DB0BDE" w:rsidRPr="00DB0BDE" w:rsidRDefault="00DB0BDE" w:rsidP="00DB0BDE">
            <w:pPr>
              <w:jc w:val="right"/>
              <w:rPr>
                <w:rFonts w:asciiTheme="minorHAnsi" w:hAnsiTheme="minorHAnsi" w:cstheme="minorHAnsi"/>
                <w:b/>
                <w:bCs/>
                <w:color w:val="000000" w:themeColor="text1"/>
                <w:szCs w:val="20"/>
                <w:lang w:val="en-US"/>
              </w:rPr>
            </w:pPr>
            <w:r w:rsidRPr="00DB0BDE">
              <w:rPr>
                <w:b/>
                <w:bCs/>
                <w:color w:val="000000" w:themeColor="text1"/>
                <w:szCs w:val="20"/>
              </w:rPr>
              <w:t xml:space="preserve">2 385 203 </w:t>
            </w:r>
          </w:p>
        </w:tc>
        <w:tc>
          <w:tcPr>
            <w:tcW w:w="919" w:type="pct"/>
            <w:tcBorders>
              <w:top w:val="single" w:sz="4" w:space="0" w:color="auto"/>
              <w:left w:val="nil"/>
              <w:bottom w:val="single" w:sz="4" w:space="0" w:color="auto"/>
              <w:right w:val="nil"/>
            </w:tcBorders>
            <w:vAlign w:val="center"/>
          </w:tcPr>
          <w:p w14:paraId="115600A3" w14:textId="223843AD" w:rsidR="00DB0BDE" w:rsidRPr="00DB0BDE" w:rsidRDefault="00DB0BDE" w:rsidP="00DB0BDE">
            <w:pPr>
              <w:jc w:val="right"/>
              <w:rPr>
                <w:rFonts w:asciiTheme="minorHAnsi" w:hAnsiTheme="minorHAnsi" w:cstheme="minorHAnsi"/>
                <w:b/>
                <w:bCs/>
                <w:color w:val="000000" w:themeColor="text1"/>
                <w:szCs w:val="20"/>
              </w:rPr>
            </w:pPr>
            <w:r w:rsidRPr="00DB0BDE">
              <w:rPr>
                <w:b/>
                <w:bCs/>
                <w:color w:val="000000" w:themeColor="text1"/>
                <w:szCs w:val="20"/>
              </w:rPr>
              <w:t xml:space="preserve">2 210 551 </w:t>
            </w:r>
          </w:p>
        </w:tc>
      </w:tr>
      <w:tr w:rsidR="00DB0BDE" w:rsidRPr="00DB0BDE" w14:paraId="6D6091A3" w14:textId="77777777" w:rsidTr="008732F7">
        <w:trPr>
          <w:trHeight w:val="255"/>
        </w:trPr>
        <w:tc>
          <w:tcPr>
            <w:tcW w:w="2501" w:type="pct"/>
            <w:tcBorders>
              <w:top w:val="single" w:sz="4" w:space="0" w:color="auto"/>
              <w:left w:val="nil"/>
              <w:bottom w:val="nil"/>
            </w:tcBorders>
            <w:vAlign w:val="center"/>
            <w:hideMark/>
          </w:tcPr>
          <w:p w14:paraId="1642E875" w14:textId="50402776" w:rsidR="00DB0BDE" w:rsidRPr="00DB0BDE" w:rsidRDefault="00DB0BDE" w:rsidP="00DB0BDE">
            <w:pPr>
              <w:pStyle w:val="af7"/>
              <w:spacing w:before="0" w:after="0"/>
              <w:jc w:val="left"/>
              <w:rPr>
                <w:rFonts w:asciiTheme="minorHAnsi" w:hAnsiTheme="minorHAnsi" w:cstheme="minorHAnsi"/>
                <w:b/>
                <w:color w:val="000000" w:themeColor="text1"/>
                <w:szCs w:val="20"/>
              </w:rPr>
            </w:pPr>
            <w:r w:rsidRPr="00DB0BDE">
              <w:rPr>
                <w:rFonts w:asciiTheme="minorHAnsi" w:hAnsiTheme="minorHAnsi" w:cstheme="minorHAnsi"/>
                <w:b/>
                <w:bCs/>
                <w:color w:val="000000" w:themeColor="text1"/>
                <w:szCs w:val="20"/>
              </w:rPr>
              <w:t>Чистий борг/Разом власний капітал та чисти борг</w:t>
            </w:r>
          </w:p>
        </w:tc>
        <w:tc>
          <w:tcPr>
            <w:tcW w:w="661" w:type="pct"/>
            <w:tcBorders>
              <w:top w:val="single" w:sz="4" w:space="0" w:color="auto"/>
              <w:bottom w:val="nil"/>
              <w:right w:val="nil"/>
            </w:tcBorders>
            <w:vAlign w:val="center"/>
          </w:tcPr>
          <w:p w14:paraId="1FDC87BA" w14:textId="77777777" w:rsidR="00DB0BDE" w:rsidRPr="00DB0BDE" w:rsidRDefault="00DB0BDE" w:rsidP="00DB0BDE">
            <w:pPr>
              <w:pStyle w:val="af7"/>
              <w:spacing w:before="0" w:after="0"/>
              <w:jc w:val="center"/>
              <w:rPr>
                <w:rFonts w:asciiTheme="minorHAnsi" w:hAnsiTheme="minorHAnsi" w:cstheme="minorHAnsi"/>
                <w:color w:val="000000" w:themeColor="text1"/>
                <w:szCs w:val="20"/>
              </w:rPr>
            </w:pPr>
          </w:p>
        </w:tc>
        <w:tc>
          <w:tcPr>
            <w:tcW w:w="919" w:type="pct"/>
            <w:tcBorders>
              <w:top w:val="single" w:sz="4" w:space="0" w:color="auto"/>
              <w:left w:val="nil"/>
              <w:bottom w:val="nil"/>
              <w:right w:val="nil"/>
            </w:tcBorders>
            <w:vAlign w:val="center"/>
          </w:tcPr>
          <w:p w14:paraId="6A4FBF63" w14:textId="631C9E02" w:rsidR="00DB0BDE" w:rsidRPr="00DB0BDE" w:rsidRDefault="00DB0BDE" w:rsidP="00DB0BDE">
            <w:pPr>
              <w:jc w:val="right"/>
              <w:rPr>
                <w:rFonts w:asciiTheme="minorHAnsi" w:hAnsiTheme="minorHAnsi" w:cstheme="minorHAnsi"/>
                <w:b/>
                <w:bCs/>
                <w:color w:val="000000" w:themeColor="text1"/>
                <w:szCs w:val="20"/>
              </w:rPr>
            </w:pPr>
            <w:r w:rsidRPr="00DB0BDE">
              <w:rPr>
                <w:b/>
                <w:bCs/>
                <w:color w:val="000000" w:themeColor="text1"/>
                <w:szCs w:val="20"/>
              </w:rPr>
              <w:t>0,71</w:t>
            </w:r>
          </w:p>
        </w:tc>
        <w:tc>
          <w:tcPr>
            <w:tcW w:w="919" w:type="pct"/>
            <w:tcBorders>
              <w:top w:val="single" w:sz="4" w:space="0" w:color="auto"/>
              <w:left w:val="nil"/>
              <w:bottom w:val="nil"/>
              <w:right w:val="nil"/>
            </w:tcBorders>
            <w:vAlign w:val="center"/>
          </w:tcPr>
          <w:p w14:paraId="106E2A7C" w14:textId="1C4511A2" w:rsidR="00DB0BDE" w:rsidRPr="00DB0BDE" w:rsidRDefault="00DB0BDE" w:rsidP="00DB0BDE">
            <w:pPr>
              <w:jc w:val="right"/>
              <w:rPr>
                <w:rFonts w:asciiTheme="minorHAnsi" w:hAnsiTheme="minorHAnsi" w:cstheme="minorHAnsi"/>
                <w:b/>
                <w:bCs/>
                <w:color w:val="000000" w:themeColor="text1"/>
                <w:szCs w:val="20"/>
              </w:rPr>
            </w:pPr>
            <w:r w:rsidRPr="00DB0BDE">
              <w:rPr>
                <w:b/>
                <w:bCs/>
                <w:color w:val="000000" w:themeColor="text1"/>
                <w:szCs w:val="20"/>
              </w:rPr>
              <w:t>0,70</w:t>
            </w:r>
          </w:p>
        </w:tc>
      </w:tr>
    </w:tbl>
    <w:p w14:paraId="2CC01C11" w14:textId="4B2AFA2C" w:rsidR="00D7008C" w:rsidRPr="0064459A" w:rsidRDefault="00D7008C" w:rsidP="003547BB">
      <w:pPr>
        <w:pStyle w:val="af7"/>
        <w:spacing w:before="240"/>
        <w:rPr>
          <w:rFonts w:asciiTheme="minorHAnsi" w:hAnsiTheme="minorHAnsi" w:cstheme="minorHAnsi"/>
          <w:color w:val="000000" w:themeColor="text1"/>
          <w:szCs w:val="20"/>
        </w:rPr>
      </w:pPr>
      <w:r w:rsidRPr="00DB0BDE">
        <w:rPr>
          <w:rFonts w:asciiTheme="minorHAnsi" w:hAnsiTheme="minorHAnsi" w:cstheme="minorHAnsi"/>
          <w:color w:val="000000" w:themeColor="text1"/>
        </w:rPr>
        <w:t>Показник нако</w:t>
      </w:r>
      <w:r w:rsidR="00DB0BDE" w:rsidRPr="00DB0BDE">
        <w:rPr>
          <w:rFonts w:asciiTheme="minorHAnsi" w:hAnsiTheme="minorHAnsi" w:cstheme="minorHAnsi"/>
          <w:color w:val="000000" w:themeColor="text1"/>
        </w:rPr>
        <w:t>пиченого прибутку Компанії у 2020</w:t>
      </w:r>
      <w:r w:rsidRPr="00DB0BDE">
        <w:rPr>
          <w:rFonts w:asciiTheme="minorHAnsi" w:hAnsiTheme="minorHAnsi" w:cstheme="minorHAnsi"/>
          <w:color w:val="000000" w:themeColor="text1"/>
        </w:rPr>
        <w:t xml:space="preserve"> </w:t>
      </w:r>
      <w:r w:rsidR="00694E02" w:rsidRPr="00DB0BDE">
        <w:rPr>
          <w:rFonts w:asciiTheme="minorHAnsi" w:hAnsiTheme="minorHAnsi" w:cstheme="minorHAnsi"/>
          <w:color w:val="000000" w:themeColor="text1"/>
        </w:rPr>
        <w:t>році характеризується збільшенням</w:t>
      </w:r>
      <w:r w:rsidR="00B36F20" w:rsidRPr="00DB0BDE">
        <w:rPr>
          <w:rFonts w:asciiTheme="minorHAnsi" w:hAnsiTheme="minorHAnsi" w:cstheme="minorHAnsi"/>
          <w:color w:val="000000" w:themeColor="text1"/>
        </w:rPr>
        <w:t xml:space="preserve"> порівняно з 201</w:t>
      </w:r>
      <w:r w:rsidR="00DB0BDE" w:rsidRPr="00DB0BDE">
        <w:rPr>
          <w:rFonts w:asciiTheme="minorHAnsi" w:hAnsiTheme="minorHAnsi" w:cstheme="minorHAnsi"/>
          <w:color w:val="000000" w:themeColor="text1"/>
        </w:rPr>
        <w:t>9</w:t>
      </w:r>
      <w:r w:rsidRPr="00DB0BDE">
        <w:rPr>
          <w:rFonts w:asciiTheme="minorHAnsi" w:hAnsiTheme="minorHAnsi" w:cstheme="minorHAnsi"/>
          <w:color w:val="000000" w:themeColor="text1"/>
        </w:rPr>
        <w:t xml:space="preserve"> роком. </w:t>
      </w:r>
      <w:r w:rsidR="00B36F20" w:rsidRPr="00DB0BDE">
        <w:rPr>
          <w:rFonts w:asciiTheme="minorHAnsi" w:hAnsiTheme="minorHAnsi" w:cstheme="minorHAnsi"/>
          <w:color w:val="000000" w:themeColor="text1"/>
        </w:rPr>
        <w:t>Так, з 31.12.201</w:t>
      </w:r>
      <w:r w:rsidR="00DB0BDE" w:rsidRPr="00DB0BDE">
        <w:rPr>
          <w:rFonts w:asciiTheme="minorHAnsi" w:hAnsiTheme="minorHAnsi" w:cstheme="minorHAnsi"/>
          <w:color w:val="000000" w:themeColor="text1"/>
        </w:rPr>
        <w:t>9</w:t>
      </w:r>
      <w:r w:rsidRPr="00DB0BDE">
        <w:rPr>
          <w:rFonts w:asciiTheme="minorHAnsi" w:hAnsiTheme="minorHAnsi" w:cstheme="minorHAnsi"/>
          <w:color w:val="000000" w:themeColor="text1"/>
        </w:rPr>
        <w:t xml:space="preserve"> по 31.12.20</w:t>
      </w:r>
      <w:r w:rsidR="00DB0BDE" w:rsidRPr="00DB0BDE">
        <w:rPr>
          <w:rFonts w:asciiTheme="minorHAnsi" w:hAnsiTheme="minorHAnsi" w:cstheme="minorHAnsi"/>
          <w:color w:val="000000" w:themeColor="text1"/>
        </w:rPr>
        <w:t>20</w:t>
      </w:r>
      <w:r w:rsidR="00694E02" w:rsidRPr="00DB0BDE">
        <w:rPr>
          <w:rFonts w:asciiTheme="minorHAnsi" w:hAnsiTheme="minorHAnsi" w:cstheme="minorHAnsi"/>
          <w:color w:val="000000" w:themeColor="text1"/>
        </w:rPr>
        <w:t xml:space="preserve"> показник збільшився</w:t>
      </w:r>
      <w:r w:rsidR="00BE11CC" w:rsidRPr="00DB0BDE">
        <w:rPr>
          <w:rFonts w:asciiTheme="minorHAnsi" w:hAnsiTheme="minorHAnsi" w:cstheme="minorHAnsi"/>
          <w:color w:val="000000" w:themeColor="text1"/>
        </w:rPr>
        <w:t xml:space="preserve"> на </w:t>
      </w:r>
      <w:r w:rsidR="00DB0BDE" w:rsidRPr="00DB0BDE">
        <w:rPr>
          <w:rFonts w:asciiTheme="minorHAnsi" w:hAnsiTheme="minorHAnsi" w:cstheme="minorHAnsi"/>
          <w:color w:val="000000" w:themeColor="text1"/>
        </w:rPr>
        <w:t>33 332</w:t>
      </w:r>
      <w:r w:rsidR="001E773B" w:rsidRPr="00DB0BDE">
        <w:rPr>
          <w:rFonts w:asciiTheme="minorHAnsi" w:hAnsiTheme="minorHAnsi" w:cstheme="minorHAnsi"/>
          <w:color w:val="000000" w:themeColor="text1"/>
        </w:rPr>
        <w:t> </w:t>
      </w:r>
      <w:r w:rsidRPr="00DB0BDE">
        <w:rPr>
          <w:rFonts w:asciiTheme="minorHAnsi" w:hAnsiTheme="minorHAnsi" w:cstheme="minorHAnsi"/>
          <w:color w:val="000000" w:themeColor="text1"/>
        </w:rPr>
        <w:t>тис. грн. Загальна сума власного капіта</w:t>
      </w:r>
      <w:r w:rsidR="001E773B" w:rsidRPr="00DB0BDE">
        <w:rPr>
          <w:rFonts w:asciiTheme="minorHAnsi" w:hAnsiTheme="minorHAnsi" w:cstheme="minorHAnsi"/>
          <w:color w:val="000000" w:themeColor="text1"/>
        </w:rPr>
        <w:t xml:space="preserve">лу Компанії </w:t>
      </w:r>
      <w:r w:rsidR="00DB0BDE" w:rsidRPr="00DB0BDE">
        <w:rPr>
          <w:rFonts w:asciiTheme="minorHAnsi" w:hAnsiTheme="minorHAnsi" w:cstheme="minorHAnsi"/>
          <w:color w:val="000000" w:themeColor="text1"/>
          <w:szCs w:val="20"/>
        </w:rPr>
        <w:t>станом на 31.12.2020</w:t>
      </w:r>
      <w:r w:rsidR="008732F7" w:rsidRPr="00DB0BDE">
        <w:rPr>
          <w:rFonts w:asciiTheme="minorHAnsi" w:hAnsiTheme="minorHAnsi" w:cstheme="minorHAnsi"/>
          <w:color w:val="000000" w:themeColor="text1"/>
          <w:szCs w:val="20"/>
        </w:rPr>
        <w:t xml:space="preserve"> – </w:t>
      </w:r>
      <w:r w:rsidR="004B4FAE">
        <w:rPr>
          <w:rFonts w:asciiTheme="minorHAnsi" w:hAnsiTheme="minorHAnsi" w:cstheme="minorHAnsi"/>
          <w:color w:val="000000" w:themeColor="text1"/>
          <w:szCs w:val="20"/>
        </w:rPr>
        <w:t>702 843</w:t>
      </w:r>
      <w:r w:rsidR="008732F7" w:rsidRPr="00DB0BDE">
        <w:rPr>
          <w:rFonts w:asciiTheme="minorHAnsi" w:hAnsiTheme="minorHAnsi" w:cstheme="minorHAnsi"/>
          <w:color w:val="000000" w:themeColor="text1"/>
          <w:szCs w:val="20"/>
        </w:rPr>
        <w:t> тис. грн</w:t>
      </w:r>
      <w:r w:rsidRPr="00DB0BDE">
        <w:rPr>
          <w:rFonts w:asciiTheme="minorHAnsi" w:hAnsiTheme="minorHAnsi" w:cstheme="minorHAnsi"/>
          <w:color w:val="000000" w:themeColor="text1"/>
          <w:szCs w:val="20"/>
        </w:rPr>
        <w:t>. Загальна сума позик</w:t>
      </w:r>
      <w:r w:rsidR="00DB0BDE" w:rsidRPr="00DB0BDE">
        <w:rPr>
          <w:rFonts w:asciiTheme="minorHAnsi" w:hAnsiTheme="minorHAnsi" w:cstheme="minorHAnsi"/>
          <w:color w:val="000000" w:themeColor="text1"/>
          <w:szCs w:val="20"/>
        </w:rPr>
        <w:t>ових коштів станом на 31.12.2020</w:t>
      </w:r>
      <w:r w:rsidRPr="00DB0BDE">
        <w:rPr>
          <w:rFonts w:asciiTheme="minorHAnsi" w:hAnsiTheme="minorHAnsi" w:cstheme="minorHAnsi"/>
          <w:color w:val="000000" w:themeColor="text1"/>
          <w:szCs w:val="20"/>
        </w:rPr>
        <w:t xml:space="preserve"> </w:t>
      </w:r>
      <w:r w:rsidR="005E08A9" w:rsidRPr="00DB0BDE">
        <w:rPr>
          <w:rFonts w:asciiTheme="minorHAnsi" w:hAnsiTheme="minorHAnsi" w:cstheme="minorHAnsi"/>
          <w:color w:val="000000" w:themeColor="text1"/>
          <w:szCs w:val="20"/>
        </w:rPr>
        <w:t>з</w:t>
      </w:r>
      <w:r w:rsidR="00483913" w:rsidRPr="00DB0BDE">
        <w:rPr>
          <w:rFonts w:asciiTheme="minorHAnsi" w:hAnsiTheme="minorHAnsi" w:cstheme="minorHAnsi"/>
          <w:color w:val="000000" w:themeColor="text1"/>
          <w:szCs w:val="20"/>
        </w:rPr>
        <w:t>більшилась</w:t>
      </w:r>
      <w:r w:rsidR="005E08A9" w:rsidRPr="00DB0BDE">
        <w:rPr>
          <w:rFonts w:asciiTheme="minorHAnsi" w:hAnsiTheme="minorHAnsi" w:cstheme="minorHAnsi"/>
          <w:color w:val="000000" w:themeColor="text1"/>
          <w:szCs w:val="20"/>
        </w:rPr>
        <w:t xml:space="preserve"> на </w:t>
      </w:r>
      <w:r w:rsidR="00DB0BDE" w:rsidRPr="00DB0BDE">
        <w:rPr>
          <w:rFonts w:asciiTheme="minorHAnsi" w:hAnsiTheme="minorHAnsi" w:cstheme="minorHAnsi"/>
          <w:color w:val="000000" w:themeColor="text1"/>
          <w:szCs w:val="20"/>
        </w:rPr>
        <w:t>9,1</w:t>
      </w:r>
      <w:r w:rsidR="00483913" w:rsidRPr="00DB0BDE">
        <w:rPr>
          <w:rFonts w:asciiTheme="minorHAnsi" w:hAnsiTheme="minorHAnsi" w:cstheme="minorHAnsi"/>
          <w:color w:val="000000" w:themeColor="text1"/>
          <w:szCs w:val="20"/>
        </w:rPr>
        <w:t> </w:t>
      </w:r>
      <w:r w:rsidR="005E08A9" w:rsidRPr="00DB0BDE">
        <w:rPr>
          <w:rFonts w:asciiTheme="minorHAnsi" w:hAnsiTheme="minorHAnsi" w:cstheme="minorHAnsi"/>
          <w:color w:val="000000" w:themeColor="text1"/>
          <w:szCs w:val="20"/>
        </w:rPr>
        <w:t>% порівняно з 31.12.201</w:t>
      </w:r>
      <w:r w:rsidR="00DB0BDE" w:rsidRPr="00DB0BDE">
        <w:rPr>
          <w:rFonts w:asciiTheme="minorHAnsi" w:hAnsiTheme="minorHAnsi" w:cstheme="minorHAnsi"/>
          <w:color w:val="000000" w:themeColor="text1"/>
          <w:szCs w:val="20"/>
        </w:rPr>
        <w:t>9. Станом на 31.12.2020</w:t>
      </w:r>
      <w:r w:rsidRPr="00DB0BDE">
        <w:rPr>
          <w:rFonts w:asciiTheme="minorHAnsi" w:hAnsiTheme="minorHAnsi" w:cstheme="minorHAnsi"/>
          <w:color w:val="000000" w:themeColor="text1"/>
          <w:szCs w:val="20"/>
        </w:rPr>
        <w:t xml:space="preserve"> загальна сума позикових ко</w:t>
      </w:r>
      <w:r w:rsidR="00694E02" w:rsidRPr="00DB0BDE">
        <w:rPr>
          <w:rFonts w:asciiTheme="minorHAnsi" w:hAnsiTheme="minorHAnsi" w:cstheme="minorHAnsi"/>
          <w:color w:val="000000" w:themeColor="text1"/>
          <w:szCs w:val="20"/>
        </w:rPr>
        <w:t xml:space="preserve">штів </w:t>
      </w:r>
      <w:r w:rsidR="00694E02" w:rsidRPr="0064459A">
        <w:rPr>
          <w:rFonts w:asciiTheme="minorHAnsi" w:hAnsiTheme="minorHAnsi" w:cstheme="minorHAnsi"/>
          <w:color w:val="000000" w:themeColor="text1"/>
          <w:szCs w:val="20"/>
        </w:rPr>
        <w:t xml:space="preserve">склала </w:t>
      </w:r>
      <w:r w:rsidR="008732F7" w:rsidRPr="0064459A">
        <w:rPr>
          <w:rFonts w:asciiTheme="minorHAnsi" w:hAnsiTheme="minorHAnsi" w:cstheme="minorHAnsi"/>
          <w:color w:val="000000" w:themeColor="text1"/>
          <w:szCs w:val="20"/>
        </w:rPr>
        <w:t>1</w:t>
      </w:r>
      <w:r w:rsidR="00DB0BDE" w:rsidRPr="0064459A">
        <w:rPr>
          <w:rFonts w:asciiTheme="minorHAnsi" w:hAnsiTheme="minorHAnsi" w:cstheme="minorHAnsi"/>
          <w:color w:val="000000" w:themeColor="text1"/>
          <w:szCs w:val="20"/>
        </w:rPr>
        <w:t> 694 320</w:t>
      </w:r>
      <w:r w:rsidR="005E08A9" w:rsidRPr="0064459A">
        <w:rPr>
          <w:rFonts w:asciiTheme="minorHAnsi" w:hAnsiTheme="minorHAnsi" w:cstheme="minorHAnsi"/>
          <w:color w:val="000000" w:themeColor="text1"/>
          <w:szCs w:val="20"/>
        </w:rPr>
        <w:t> </w:t>
      </w:r>
      <w:r w:rsidRPr="0064459A">
        <w:rPr>
          <w:rFonts w:asciiTheme="minorHAnsi" w:hAnsiTheme="minorHAnsi" w:cstheme="minorHAnsi"/>
          <w:color w:val="000000" w:themeColor="text1"/>
          <w:szCs w:val="20"/>
        </w:rPr>
        <w:t>тис. грн.</w:t>
      </w:r>
    </w:p>
    <w:tbl>
      <w:tblPr>
        <w:tblW w:w="4928" w:type="pct"/>
        <w:tblLook w:val="00A0" w:firstRow="1" w:lastRow="0" w:firstColumn="1" w:lastColumn="0" w:noHBand="0" w:noVBand="0"/>
      </w:tblPr>
      <w:tblGrid>
        <w:gridCol w:w="4821"/>
        <w:gridCol w:w="2549"/>
        <w:gridCol w:w="2128"/>
      </w:tblGrid>
      <w:tr w:rsidR="008732F7" w:rsidRPr="0064459A" w14:paraId="79D252FF" w14:textId="77777777" w:rsidTr="008732F7">
        <w:trPr>
          <w:trHeight w:val="510"/>
          <w:tblHeader/>
        </w:trPr>
        <w:tc>
          <w:tcPr>
            <w:tcW w:w="2538" w:type="pct"/>
            <w:tcBorders>
              <w:top w:val="nil"/>
              <w:left w:val="nil"/>
              <w:bottom w:val="single" w:sz="4" w:space="0" w:color="auto"/>
            </w:tcBorders>
            <w:noWrap/>
            <w:vAlign w:val="center"/>
            <w:hideMark/>
          </w:tcPr>
          <w:p w14:paraId="610189C5" w14:textId="37190A5B" w:rsidR="006560CE" w:rsidRPr="0064459A" w:rsidRDefault="008732F7" w:rsidP="006902ED">
            <w:pPr>
              <w:jc w:val="left"/>
              <w:rPr>
                <w:rFonts w:asciiTheme="minorHAnsi" w:hAnsiTheme="minorHAnsi" w:cstheme="minorHAnsi"/>
                <w:b/>
                <w:bCs/>
                <w:color w:val="000000" w:themeColor="text1"/>
                <w:szCs w:val="20"/>
              </w:rPr>
            </w:pPr>
            <w:r w:rsidRPr="0064459A">
              <w:rPr>
                <w:rFonts w:asciiTheme="minorHAnsi" w:hAnsiTheme="minorHAnsi" w:cstheme="minorHAnsi"/>
                <w:b/>
                <w:bCs/>
                <w:color w:val="000000" w:themeColor="text1"/>
                <w:szCs w:val="20"/>
              </w:rPr>
              <w:t>27</w:t>
            </w:r>
            <w:r w:rsidR="006560CE" w:rsidRPr="0064459A">
              <w:rPr>
                <w:rFonts w:asciiTheme="minorHAnsi" w:hAnsiTheme="minorHAnsi" w:cstheme="minorHAnsi"/>
                <w:b/>
                <w:bCs/>
                <w:color w:val="000000" w:themeColor="text1"/>
                <w:szCs w:val="20"/>
              </w:rPr>
              <w:t>.11 Розрахунок фінансових показників</w:t>
            </w:r>
          </w:p>
        </w:tc>
        <w:tc>
          <w:tcPr>
            <w:tcW w:w="1342" w:type="pct"/>
            <w:tcBorders>
              <w:top w:val="nil"/>
              <w:bottom w:val="single" w:sz="4" w:space="0" w:color="auto"/>
              <w:right w:val="nil"/>
            </w:tcBorders>
            <w:vAlign w:val="center"/>
          </w:tcPr>
          <w:p w14:paraId="4B97A60B" w14:textId="25850F06" w:rsidR="006560CE" w:rsidRPr="0064459A" w:rsidRDefault="006560CE" w:rsidP="006902ED">
            <w:pPr>
              <w:jc w:val="right"/>
              <w:rPr>
                <w:rFonts w:asciiTheme="minorHAnsi" w:hAnsiTheme="minorHAnsi" w:cstheme="minorHAnsi"/>
                <w:b/>
                <w:color w:val="000000" w:themeColor="text1"/>
                <w:szCs w:val="20"/>
              </w:rPr>
            </w:pPr>
            <w:r w:rsidRPr="0064459A">
              <w:rPr>
                <w:b/>
                <w:bCs/>
                <w:color w:val="000000" w:themeColor="text1"/>
                <w:szCs w:val="20"/>
              </w:rPr>
              <w:t>Рік, що закінчився 31.12.20</w:t>
            </w:r>
            <w:r w:rsidR="00DB0BDE" w:rsidRPr="0064459A">
              <w:rPr>
                <w:b/>
                <w:bCs/>
                <w:color w:val="000000" w:themeColor="text1"/>
                <w:szCs w:val="20"/>
              </w:rPr>
              <w:t>20</w:t>
            </w:r>
          </w:p>
        </w:tc>
        <w:tc>
          <w:tcPr>
            <w:tcW w:w="1120" w:type="pct"/>
            <w:tcBorders>
              <w:top w:val="nil"/>
              <w:left w:val="nil"/>
              <w:bottom w:val="single" w:sz="4" w:space="0" w:color="auto"/>
              <w:right w:val="nil"/>
            </w:tcBorders>
            <w:vAlign w:val="center"/>
            <w:hideMark/>
          </w:tcPr>
          <w:p w14:paraId="3DBF9560" w14:textId="5A2912D6" w:rsidR="006560CE" w:rsidRPr="0064459A" w:rsidRDefault="006560CE" w:rsidP="006902ED">
            <w:pPr>
              <w:jc w:val="right"/>
              <w:rPr>
                <w:rFonts w:asciiTheme="minorHAnsi" w:hAnsiTheme="minorHAnsi" w:cstheme="minorHAnsi"/>
                <w:b/>
                <w:color w:val="000000" w:themeColor="text1"/>
                <w:szCs w:val="20"/>
              </w:rPr>
            </w:pPr>
            <w:r w:rsidRPr="0064459A">
              <w:rPr>
                <w:b/>
                <w:bCs/>
                <w:color w:val="000000" w:themeColor="text1"/>
                <w:szCs w:val="20"/>
              </w:rPr>
              <w:t>Рік, що закінчився 31.12.201</w:t>
            </w:r>
            <w:r w:rsidR="00DB0BDE" w:rsidRPr="0064459A">
              <w:rPr>
                <w:b/>
                <w:bCs/>
                <w:color w:val="000000" w:themeColor="text1"/>
                <w:szCs w:val="20"/>
              </w:rPr>
              <w:t>9 (перераховано)</w:t>
            </w:r>
          </w:p>
        </w:tc>
      </w:tr>
      <w:tr w:rsidR="00DB0BDE" w:rsidRPr="0064459A" w14:paraId="2D958E3A" w14:textId="77777777" w:rsidTr="008732F7">
        <w:trPr>
          <w:trHeight w:val="255"/>
        </w:trPr>
        <w:tc>
          <w:tcPr>
            <w:tcW w:w="2538" w:type="pct"/>
            <w:tcBorders>
              <w:top w:val="single" w:sz="4" w:space="0" w:color="auto"/>
              <w:left w:val="nil"/>
            </w:tcBorders>
            <w:noWrap/>
            <w:vAlign w:val="center"/>
            <w:hideMark/>
          </w:tcPr>
          <w:p w14:paraId="14C6F9A6" w14:textId="69EA8D1A" w:rsidR="00DB0BDE" w:rsidRPr="0064459A" w:rsidRDefault="00DB0BDE" w:rsidP="00DB0BDE">
            <w:pPr>
              <w:pStyle w:val="af7"/>
              <w:spacing w:before="0" w:after="0"/>
              <w:jc w:val="left"/>
              <w:rPr>
                <w:rFonts w:asciiTheme="minorHAnsi" w:hAnsiTheme="minorHAnsi" w:cstheme="minorHAnsi"/>
                <w:color w:val="000000" w:themeColor="text1"/>
                <w:szCs w:val="20"/>
              </w:rPr>
            </w:pPr>
            <w:r w:rsidRPr="0064459A">
              <w:rPr>
                <w:color w:val="000000" w:themeColor="text1"/>
                <w:szCs w:val="20"/>
              </w:rPr>
              <w:t>Прибуток (збиток) до оподаткування</w:t>
            </w:r>
          </w:p>
        </w:tc>
        <w:tc>
          <w:tcPr>
            <w:tcW w:w="1342" w:type="pct"/>
            <w:tcBorders>
              <w:top w:val="single" w:sz="4" w:space="0" w:color="auto"/>
              <w:right w:val="nil"/>
            </w:tcBorders>
            <w:shd w:val="clear" w:color="auto" w:fill="auto"/>
            <w:vAlign w:val="center"/>
          </w:tcPr>
          <w:p w14:paraId="30641645" w14:textId="4ACE8684" w:rsidR="00DB0BDE" w:rsidRPr="0064459A" w:rsidRDefault="0064459A" w:rsidP="00DB0BDE">
            <w:pPr>
              <w:jc w:val="right"/>
              <w:rPr>
                <w:rFonts w:asciiTheme="minorHAnsi" w:hAnsiTheme="minorHAnsi" w:cstheme="minorHAnsi"/>
                <w:color w:val="000000" w:themeColor="text1"/>
                <w:szCs w:val="20"/>
              </w:rPr>
            </w:pPr>
            <w:r w:rsidRPr="0064459A">
              <w:rPr>
                <w:color w:val="000000" w:themeColor="text1"/>
                <w:szCs w:val="20"/>
              </w:rPr>
              <w:t>43 953</w:t>
            </w:r>
            <w:r w:rsidR="00DB0BDE" w:rsidRPr="0064459A">
              <w:rPr>
                <w:color w:val="000000" w:themeColor="text1"/>
                <w:szCs w:val="20"/>
              </w:rPr>
              <w:t xml:space="preserve"> </w:t>
            </w:r>
          </w:p>
        </w:tc>
        <w:tc>
          <w:tcPr>
            <w:tcW w:w="1120" w:type="pct"/>
            <w:tcBorders>
              <w:top w:val="single" w:sz="4" w:space="0" w:color="auto"/>
              <w:left w:val="nil"/>
              <w:right w:val="nil"/>
            </w:tcBorders>
            <w:vAlign w:val="center"/>
          </w:tcPr>
          <w:p w14:paraId="0AB71B0E" w14:textId="1D7F72BA" w:rsidR="00DB0BDE" w:rsidRPr="0064459A" w:rsidRDefault="00DB0BDE" w:rsidP="00DB0BDE">
            <w:pPr>
              <w:jc w:val="right"/>
              <w:rPr>
                <w:rFonts w:asciiTheme="minorHAnsi" w:hAnsiTheme="minorHAnsi" w:cstheme="minorHAnsi"/>
                <w:color w:val="000000" w:themeColor="text1"/>
                <w:szCs w:val="20"/>
              </w:rPr>
            </w:pPr>
            <w:r w:rsidRPr="0064459A">
              <w:rPr>
                <w:color w:val="000000" w:themeColor="text1"/>
                <w:szCs w:val="20"/>
              </w:rPr>
              <w:t xml:space="preserve">110 484 </w:t>
            </w:r>
          </w:p>
        </w:tc>
      </w:tr>
      <w:tr w:rsidR="00DB0BDE" w:rsidRPr="0064459A" w14:paraId="27397F95" w14:textId="77777777" w:rsidTr="008732F7">
        <w:trPr>
          <w:trHeight w:val="255"/>
        </w:trPr>
        <w:tc>
          <w:tcPr>
            <w:tcW w:w="2538" w:type="pct"/>
            <w:tcBorders>
              <w:left w:val="nil"/>
              <w:bottom w:val="nil"/>
            </w:tcBorders>
            <w:noWrap/>
            <w:vAlign w:val="center"/>
            <w:hideMark/>
          </w:tcPr>
          <w:p w14:paraId="5D7E0C01" w14:textId="40C445DC" w:rsidR="00DB0BDE" w:rsidRPr="0064459A" w:rsidRDefault="00DB0BDE" w:rsidP="00DB0BDE">
            <w:pPr>
              <w:pStyle w:val="af7"/>
              <w:spacing w:before="0" w:after="0"/>
              <w:jc w:val="left"/>
              <w:rPr>
                <w:rFonts w:asciiTheme="minorHAnsi" w:hAnsiTheme="minorHAnsi" w:cstheme="minorHAnsi"/>
                <w:color w:val="000000" w:themeColor="text1"/>
                <w:szCs w:val="20"/>
              </w:rPr>
            </w:pPr>
            <w:r w:rsidRPr="0064459A">
              <w:rPr>
                <w:color w:val="000000" w:themeColor="text1"/>
                <w:szCs w:val="20"/>
              </w:rPr>
              <w:t>Відсотки за позиками</w:t>
            </w:r>
          </w:p>
        </w:tc>
        <w:tc>
          <w:tcPr>
            <w:tcW w:w="1342" w:type="pct"/>
            <w:tcBorders>
              <w:bottom w:val="nil"/>
              <w:right w:val="nil"/>
            </w:tcBorders>
            <w:shd w:val="clear" w:color="auto" w:fill="auto"/>
            <w:vAlign w:val="center"/>
          </w:tcPr>
          <w:p w14:paraId="479F6066" w14:textId="390990BC" w:rsidR="00DB0BDE" w:rsidRPr="0064459A" w:rsidRDefault="00DB0BDE" w:rsidP="00DB0BDE">
            <w:pPr>
              <w:jc w:val="right"/>
              <w:rPr>
                <w:rFonts w:asciiTheme="minorHAnsi" w:hAnsiTheme="minorHAnsi" w:cstheme="minorHAnsi"/>
                <w:color w:val="000000" w:themeColor="text1"/>
                <w:szCs w:val="20"/>
              </w:rPr>
            </w:pPr>
            <w:r w:rsidRPr="0064459A">
              <w:rPr>
                <w:color w:val="000000" w:themeColor="text1"/>
                <w:szCs w:val="20"/>
              </w:rPr>
              <w:t xml:space="preserve">177 898 </w:t>
            </w:r>
          </w:p>
        </w:tc>
        <w:tc>
          <w:tcPr>
            <w:tcW w:w="1120" w:type="pct"/>
            <w:tcBorders>
              <w:left w:val="nil"/>
              <w:bottom w:val="nil"/>
              <w:right w:val="nil"/>
            </w:tcBorders>
            <w:vAlign w:val="center"/>
          </w:tcPr>
          <w:p w14:paraId="48420152" w14:textId="50CC5982" w:rsidR="00DB0BDE" w:rsidRPr="0064459A" w:rsidRDefault="00DB0BDE" w:rsidP="00DB0BDE">
            <w:pPr>
              <w:jc w:val="right"/>
              <w:rPr>
                <w:rFonts w:asciiTheme="minorHAnsi" w:hAnsiTheme="minorHAnsi" w:cstheme="minorHAnsi"/>
                <w:color w:val="000000" w:themeColor="text1"/>
                <w:szCs w:val="20"/>
              </w:rPr>
            </w:pPr>
            <w:r w:rsidRPr="0064459A">
              <w:rPr>
                <w:color w:val="000000" w:themeColor="text1"/>
                <w:szCs w:val="20"/>
              </w:rPr>
              <w:t xml:space="preserve">177 898 </w:t>
            </w:r>
          </w:p>
        </w:tc>
      </w:tr>
      <w:tr w:rsidR="00DB0BDE" w:rsidRPr="0064459A" w14:paraId="68DB51F9" w14:textId="77777777" w:rsidTr="008732F7">
        <w:trPr>
          <w:trHeight w:val="255"/>
        </w:trPr>
        <w:tc>
          <w:tcPr>
            <w:tcW w:w="2538" w:type="pct"/>
            <w:vAlign w:val="center"/>
            <w:hideMark/>
          </w:tcPr>
          <w:p w14:paraId="63E033F8" w14:textId="3F89475A" w:rsidR="00DB0BDE" w:rsidRPr="0064459A" w:rsidRDefault="00DB0BDE" w:rsidP="00DB0BDE">
            <w:pPr>
              <w:pStyle w:val="af7"/>
              <w:spacing w:before="0" w:after="0"/>
              <w:jc w:val="left"/>
              <w:rPr>
                <w:rFonts w:asciiTheme="minorHAnsi" w:hAnsiTheme="minorHAnsi" w:cstheme="minorHAnsi"/>
                <w:b/>
                <w:bCs/>
                <w:color w:val="000000" w:themeColor="text1"/>
                <w:szCs w:val="20"/>
              </w:rPr>
            </w:pPr>
            <w:r w:rsidRPr="0064459A">
              <w:rPr>
                <w:b/>
                <w:bCs/>
                <w:color w:val="000000" w:themeColor="text1"/>
                <w:szCs w:val="20"/>
              </w:rPr>
              <w:t>EBIT (прибуток (збиток) до вирахування податків та витрат на відсотки)</w:t>
            </w:r>
          </w:p>
        </w:tc>
        <w:tc>
          <w:tcPr>
            <w:tcW w:w="1342" w:type="pct"/>
            <w:shd w:val="clear" w:color="auto" w:fill="auto"/>
            <w:vAlign w:val="center"/>
          </w:tcPr>
          <w:p w14:paraId="2B369DD1" w14:textId="012BD011" w:rsidR="00DB0BDE" w:rsidRPr="0064459A" w:rsidRDefault="0064459A" w:rsidP="00DB0BDE">
            <w:pPr>
              <w:jc w:val="right"/>
              <w:rPr>
                <w:rFonts w:asciiTheme="minorHAnsi" w:hAnsiTheme="minorHAnsi" w:cstheme="minorHAnsi"/>
                <w:b/>
                <w:bCs/>
                <w:color w:val="000000" w:themeColor="text1"/>
                <w:szCs w:val="20"/>
                <w:lang w:val="ru-RU"/>
              </w:rPr>
            </w:pPr>
            <w:r w:rsidRPr="0064459A">
              <w:rPr>
                <w:b/>
                <w:bCs/>
                <w:color w:val="000000" w:themeColor="text1"/>
                <w:szCs w:val="20"/>
              </w:rPr>
              <w:t>221 851</w:t>
            </w:r>
            <w:r w:rsidR="00DB0BDE" w:rsidRPr="0064459A">
              <w:rPr>
                <w:b/>
                <w:bCs/>
                <w:color w:val="000000" w:themeColor="text1"/>
                <w:szCs w:val="20"/>
              </w:rPr>
              <w:t xml:space="preserve"> </w:t>
            </w:r>
          </w:p>
        </w:tc>
        <w:tc>
          <w:tcPr>
            <w:tcW w:w="1120" w:type="pct"/>
            <w:vAlign w:val="center"/>
          </w:tcPr>
          <w:p w14:paraId="695123E7" w14:textId="7895D435" w:rsidR="00DB0BDE" w:rsidRPr="0064459A" w:rsidRDefault="00DB0BDE" w:rsidP="00DB0BDE">
            <w:pPr>
              <w:jc w:val="right"/>
              <w:rPr>
                <w:rFonts w:asciiTheme="minorHAnsi" w:hAnsiTheme="minorHAnsi" w:cstheme="minorHAnsi"/>
                <w:b/>
                <w:bCs/>
                <w:color w:val="000000" w:themeColor="text1"/>
                <w:szCs w:val="20"/>
              </w:rPr>
            </w:pPr>
            <w:r w:rsidRPr="0064459A">
              <w:rPr>
                <w:b/>
                <w:bCs/>
                <w:color w:val="000000" w:themeColor="text1"/>
                <w:szCs w:val="20"/>
              </w:rPr>
              <w:t xml:space="preserve">288 382 </w:t>
            </w:r>
          </w:p>
        </w:tc>
      </w:tr>
      <w:tr w:rsidR="00DB0BDE" w:rsidRPr="0064459A" w14:paraId="7FA0F081" w14:textId="77777777" w:rsidTr="008732F7">
        <w:trPr>
          <w:trHeight w:val="255"/>
        </w:trPr>
        <w:tc>
          <w:tcPr>
            <w:tcW w:w="2538" w:type="pct"/>
            <w:tcBorders>
              <w:top w:val="nil"/>
              <w:left w:val="nil"/>
              <w:bottom w:val="single" w:sz="4" w:space="0" w:color="auto"/>
            </w:tcBorders>
            <w:noWrap/>
            <w:vAlign w:val="center"/>
            <w:hideMark/>
          </w:tcPr>
          <w:p w14:paraId="40E49D5E" w14:textId="1003C975" w:rsidR="00DB0BDE" w:rsidRPr="0064459A" w:rsidRDefault="00DB0BDE" w:rsidP="00DB0BDE">
            <w:pPr>
              <w:pStyle w:val="af7"/>
              <w:spacing w:before="0" w:after="0"/>
              <w:jc w:val="left"/>
              <w:rPr>
                <w:rFonts w:asciiTheme="minorHAnsi" w:hAnsiTheme="minorHAnsi" w:cstheme="minorHAnsi"/>
                <w:color w:val="000000" w:themeColor="text1"/>
                <w:szCs w:val="20"/>
              </w:rPr>
            </w:pPr>
            <w:r w:rsidRPr="0064459A">
              <w:rPr>
                <w:color w:val="000000" w:themeColor="text1"/>
                <w:szCs w:val="20"/>
              </w:rPr>
              <w:t>Амортизація О3 та нематеріальних активів</w:t>
            </w:r>
          </w:p>
        </w:tc>
        <w:tc>
          <w:tcPr>
            <w:tcW w:w="1342" w:type="pct"/>
            <w:tcBorders>
              <w:top w:val="nil"/>
              <w:bottom w:val="single" w:sz="4" w:space="0" w:color="auto"/>
              <w:right w:val="nil"/>
            </w:tcBorders>
            <w:shd w:val="clear" w:color="auto" w:fill="auto"/>
            <w:vAlign w:val="center"/>
          </w:tcPr>
          <w:p w14:paraId="1D75E5CF" w14:textId="5AF5CC6E" w:rsidR="00DB0BDE" w:rsidRPr="0064459A" w:rsidRDefault="0064459A" w:rsidP="00DB0BDE">
            <w:pPr>
              <w:jc w:val="right"/>
              <w:rPr>
                <w:rFonts w:asciiTheme="minorHAnsi" w:hAnsiTheme="minorHAnsi" w:cstheme="minorHAnsi"/>
                <w:color w:val="000000" w:themeColor="text1"/>
                <w:szCs w:val="20"/>
                <w:lang w:val="ru-RU"/>
              </w:rPr>
            </w:pPr>
            <w:r w:rsidRPr="0064459A">
              <w:rPr>
                <w:color w:val="000000" w:themeColor="text1"/>
                <w:szCs w:val="20"/>
              </w:rPr>
              <w:t>53 504</w:t>
            </w:r>
            <w:r w:rsidR="00DB0BDE" w:rsidRPr="0064459A">
              <w:rPr>
                <w:color w:val="000000" w:themeColor="text1"/>
                <w:szCs w:val="20"/>
              </w:rPr>
              <w:t xml:space="preserve"> </w:t>
            </w:r>
          </w:p>
        </w:tc>
        <w:tc>
          <w:tcPr>
            <w:tcW w:w="1120" w:type="pct"/>
            <w:tcBorders>
              <w:top w:val="nil"/>
              <w:left w:val="nil"/>
              <w:bottom w:val="single" w:sz="4" w:space="0" w:color="auto"/>
              <w:right w:val="nil"/>
            </w:tcBorders>
            <w:vAlign w:val="center"/>
          </w:tcPr>
          <w:p w14:paraId="4EFDF4B0" w14:textId="00BF0843" w:rsidR="00DB0BDE" w:rsidRPr="0064459A" w:rsidRDefault="00DB0BDE" w:rsidP="00DB0BDE">
            <w:pPr>
              <w:jc w:val="right"/>
              <w:rPr>
                <w:rFonts w:asciiTheme="minorHAnsi" w:hAnsiTheme="minorHAnsi" w:cstheme="minorHAnsi"/>
                <w:color w:val="000000" w:themeColor="text1"/>
                <w:szCs w:val="20"/>
              </w:rPr>
            </w:pPr>
            <w:r w:rsidRPr="0064459A">
              <w:rPr>
                <w:color w:val="000000" w:themeColor="text1"/>
                <w:szCs w:val="20"/>
              </w:rPr>
              <w:t xml:space="preserve">43 841 </w:t>
            </w:r>
          </w:p>
        </w:tc>
      </w:tr>
      <w:tr w:rsidR="00DB0BDE" w:rsidRPr="0064459A" w14:paraId="4956C169" w14:textId="77777777" w:rsidTr="008732F7">
        <w:trPr>
          <w:trHeight w:val="255"/>
        </w:trPr>
        <w:tc>
          <w:tcPr>
            <w:tcW w:w="2538" w:type="pct"/>
            <w:tcBorders>
              <w:top w:val="single" w:sz="4" w:space="0" w:color="auto"/>
              <w:left w:val="nil"/>
              <w:bottom w:val="nil"/>
            </w:tcBorders>
            <w:vAlign w:val="center"/>
            <w:hideMark/>
          </w:tcPr>
          <w:p w14:paraId="5C378CA2" w14:textId="4608DD78" w:rsidR="00DB0BDE" w:rsidRPr="0064459A" w:rsidRDefault="00DB0BDE" w:rsidP="00DB0BDE">
            <w:pPr>
              <w:pStyle w:val="af7"/>
              <w:spacing w:before="0" w:after="0"/>
              <w:jc w:val="left"/>
              <w:rPr>
                <w:rFonts w:asciiTheme="minorHAnsi" w:hAnsiTheme="minorHAnsi" w:cstheme="minorHAnsi"/>
                <w:b/>
                <w:bCs/>
                <w:color w:val="000000" w:themeColor="text1"/>
                <w:szCs w:val="20"/>
              </w:rPr>
            </w:pPr>
            <w:r w:rsidRPr="0064459A">
              <w:rPr>
                <w:b/>
                <w:bCs/>
                <w:color w:val="000000" w:themeColor="text1"/>
                <w:szCs w:val="20"/>
              </w:rPr>
              <w:t>EBITDA (прибуток (збиток) до вирахування податків, витрат на відсотки та амортизації)</w:t>
            </w:r>
          </w:p>
        </w:tc>
        <w:tc>
          <w:tcPr>
            <w:tcW w:w="1342" w:type="pct"/>
            <w:tcBorders>
              <w:top w:val="single" w:sz="4" w:space="0" w:color="auto"/>
              <w:bottom w:val="nil"/>
              <w:right w:val="nil"/>
            </w:tcBorders>
            <w:shd w:val="clear" w:color="auto" w:fill="auto"/>
            <w:vAlign w:val="center"/>
          </w:tcPr>
          <w:p w14:paraId="5A1B01C9" w14:textId="79FB6779" w:rsidR="00DB0BDE" w:rsidRPr="0064459A" w:rsidRDefault="0064459A" w:rsidP="00DB0BDE">
            <w:pPr>
              <w:jc w:val="right"/>
              <w:rPr>
                <w:rFonts w:asciiTheme="minorHAnsi" w:hAnsiTheme="minorHAnsi" w:cstheme="minorHAnsi"/>
                <w:b/>
                <w:bCs/>
                <w:color w:val="000000" w:themeColor="text1"/>
                <w:szCs w:val="20"/>
                <w:lang w:val="ru-RU"/>
              </w:rPr>
            </w:pPr>
            <w:r w:rsidRPr="0064459A">
              <w:rPr>
                <w:b/>
                <w:bCs/>
                <w:color w:val="000000" w:themeColor="text1"/>
                <w:szCs w:val="20"/>
              </w:rPr>
              <w:t>275 355</w:t>
            </w:r>
            <w:r w:rsidR="00DB0BDE" w:rsidRPr="0064459A">
              <w:rPr>
                <w:b/>
                <w:bCs/>
                <w:color w:val="000000" w:themeColor="text1"/>
                <w:szCs w:val="20"/>
              </w:rPr>
              <w:t xml:space="preserve"> </w:t>
            </w:r>
          </w:p>
        </w:tc>
        <w:tc>
          <w:tcPr>
            <w:tcW w:w="1120" w:type="pct"/>
            <w:tcBorders>
              <w:top w:val="single" w:sz="4" w:space="0" w:color="auto"/>
              <w:left w:val="nil"/>
              <w:bottom w:val="nil"/>
              <w:right w:val="nil"/>
            </w:tcBorders>
            <w:vAlign w:val="center"/>
          </w:tcPr>
          <w:p w14:paraId="59205B2D" w14:textId="66CFD236" w:rsidR="00DB0BDE" w:rsidRPr="0064459A" w:rsidRDefault="00DB0BDE" w:rsidP="00DB0BDE">
            <w:pPr>
              <w:jc w:val="right"/>
              <w:rPr>
                <w:rFonts w:asciiTheme="minorHAnsi" w:hAnsiTheme="minorHAnsi" w:cstheme="minorHAnsi"/>
                <w:b/>
                <w:bCs/>
                <w:color w:val="000000" w:themeColor="text1"/>
                <w:szCs w:val="20"/>
              </w:rPr>
            </w:pPr>
            <w:r w:rsidRPr="0064459A">
              <w:rPr>
                <w:b/>
                <w:bCs/>
                <w:color w:val="000000" w:themeColor="text1"/>
                <w:szCs w:val="20"/>
              </w:rPr>
              <w:t xml:space="preserve">332 223 </w:t>
            </w:r>
          </w:p>
        </w:tc>
      </w:tr>
      <w:tr w:rsidR="00DB0BDE" w:rsidRPr="0064459A" w14:paraId="6B3D9008" w14:textId="77777777" w:rsidTr="008732F7">
        <w:trPr>
          <w:trHeight w:val="255"/>
        </w:trPr>
        <w:tc>
          <w:tcPr>
            <w:tcW w:w="2538" w:type="pct"/>
            <w:tcBorders>
              <w:top w:val="nil"/>
              <w:left w:val="nil"/>
              <w:bottom w:val="single" w:sz="4" w:space="0" w:color="auto"/>
            </w:tcBorders>
            <w:noWrap/>
            <w:vAlign w:val="center"/>
            <w:hideMark/>
          </w:tcPr>
          <w:p w14:paraId="2046C0D9" w14:textId="74CB1175" w:rsidR="00DB0BDE" w:rsidRPr="0064459A" w:rsidRDefault="00DB0BDE" w:rsidP="00DB0BDE">
            <w:pPr>
              <w:pStyle w:val="af7"/>
              <w:spacing w:before="0" w:after="0"/>
              <w:jc w:val="left"/>
              <w:rPr>
                <w:rFonts w:asciiTheme="minorHAnsi" w:hAnsiTheme="minorHAnsi" w:cstheme="minorHAnsi"/>
                <w:color w:val="000000" w:themeColor="text1"/>
                <w:szCs w:val="20"/>
              </w:rPr>
            </w:pPr>
            <w:r w:rsidRPr="0064459A">
              <w:rPr>
                <w:color w:val="000000" w:themeColor="text1"/>
                <w:szCs w:val="20"/>
              </w:rPr>
              <w:t>Чистий борг на кінець року</w:t>
            </w:r>
          </w:p>
        </w:tc>
        <w:tc>
          <w:tcPr>
            <w:tcW w:w="1342" w:type="pct"/>
            <w:tcBorders>
              <w:top w:val="nil"/>
              <w:bottom w:val="single" w:sz="4" w:space="0" w:color="auto"/>
              <w:right w:val="nil"/>
            </w:tcBorders>
            <w:shd w:val="clear" w:color="auto" w:fill="auto"/>
            <w:vAlign w:val="center"/>
          </w:tcPr>
          <w:p w14:paraId="5561074B" w14:textId="2B5CE481" w:rsidR="00DB0BDE" w:rsidRPr="0064459A" w:rsidRDefault="0064459A" w:rsidP="00DB0BDE">
            <w:pPr>
              <w:jc w:val="right"/>
              <w:rPr>
                <w:rFonts w:asciiTheme="minorHAnsi" w:hAnsiTheme="minorHAnsi" w:cstheme="minorHAnsi"/>
                <w:b/>
                <w:bCs/>
                <w:color w:val="000000" w:themeColor="text1"/>
                <w:szCs w:val="20"/>
                <w:lang w:val="en-US"/>
              </w:rPr>
            </w:pPr>
            <w:r w:rsidRPr="0064459A">
              <w:rPr>
                <w:color w:val="000000" w:themeColor="text1"/>
                <w:szCs w:val="20"/>
              </w:rPr>
              <w:t>1 682 360</w:t>
            </w:r>
            <w:r w:rsidR="00DB0BDE" w:rsidRPr="0064459A">
              <w:rPr>
                <w:color w:val="000000" w:themeColor="text1"/>
                <w:szCs w:val="20"/>
              </w:rPr>
              <w:t xml:space="preserve"> </w:t>
            </w:r>
          </w:p>
        </w:tc>
        <w:tc>
          <w:tcPr>
            <w:tcW w:w="1120" w:type="pct"/>
            <w:tcBorders>
              <w:top w:val="nil"/>
              <w:left w:val="nil"/>
              <w:bottom w:val="single" w:sz="4" w:space="0" w:color="auto"/>
              <w:right w:val="nil"/>
            </w:tcBorders>
            <w:vAlign w:val="center"/>
          </w:tcPr>
          <w:p w14:paraId="0661A682" w14:textId="59C2C9C1" w:rsidR="00DB0BDE" w:rsidRPr="0064459A" w:rsidRDefault="00DB0BDE" w:rsidP="0064459A">
            <w:pPr>
              <w:jc w:val="right"/>
              <w:rPr>
                <w:rFonts w:asciiTheme="minorHAnsi" w:hAnsiTheme="minorHAnsi" w:cstheme="minorHAnsi"/>
                <w:b/>
                <w:bCs/>
                <w:color w:val="000000" w:themeColor="text1"/>
                <w:szCs w:val="20"/>
              </w:rPr>
            </w:pPr>
            <w:r w:rsidRPr="0064459A">
              <w:rPr>
                <w:color w:val="000000" w:themeColor="text1"/>
                <w:szCs w:val="20"/>
              </w:rPr>
              <w:t>1</w:t>
            </w:r>
            <w:r w:rsidR="0064459A" w:rsidRPr="0064459A">
              <w:rPr>
                <w:color w:val="000000" w:themeColor="text1"/>
                <w:szCs w:val="20"/>
              </w:rPr>
              <w:t> 541 040</w:t>
            </w:r>
            <w:r w:rsidRPr="0064459A">
              <w:rPr>
                <w:color w:val="000000" w:themeColor="text1"/>
                <w:szCs w:val="20"/>
              </w:rPr>
              <w:t xml:space="preserve"> </w:t>
            </w:r>
          </w:p>
        </w:tc>
      </w:tr>
      <w:tr w:rsidR="00DB0BDE" w:rsidRPr="0064459A" w14:paraId="694C96DA" w14:textId="77777777" w:rsidTr="008732F7">
        <w:trPr>
          <w:trHeight w:val="255"/>
        </w:trPr>
        <w:tc>
          <w:tcPr>
            <w:tcW w:w="2538" w:type="pct"/>
            <w:tcBorders>
              <w:top w:val="single" w:sz="4" w:space="0" w:color="auto"/>
              <w:left w:val="nil"/>
              <w:bottom w:val="nil"/>
            </w:tcBorders>
            <w:noWrap/>
            <w:vAlign w:val="center"/>
            <w:hideMark/>
          </w:tcPr>
          <w:p w14:paraId="33CB75B3" w14:textId="4AD7393A" w:rsidR="00DB0BDE" w:rsidRPr="0064459A" w:rsidRDefault="00DB0BDE" w:rsidP="00DB0BDE">
            <w:pPr>
              <w:pStyle w:val="af7"/>
              <w:spacing w:before="0" w:after="0"/>
              <w:jc w:val="left"/>
              <w:rPr>
                <w:rFonts w:asciiTheme="minorHAnsi" w:hAnsiTheme="minorHAnsi" w:cstheme="minorHAnsi"/>
                <w:b/>
                <w:color w:val="000000" w:themeColor="text1"/>
                <w:szCs w:val="20"/>
              </w:rPr>
            </w:pPr>
            <w:r w:rsidRPr="0064459A">
              <w:rPr>
                <w:b/>
                <w:bCs/>
                <w:color w:val="000000" w:themeColor="text1"/>
                <w:szCs w:val="20"/>
              </w:rPr>
              <w:t>Чистий борг на кінець року / EBITDA</w:t>
            </w:r>
          </w:p>
        </w:tc>
        <w:tc>
          <w:tcPr>
            <w:tcW w:w="1342" w:type="pct"/>
            <w:tcBorders>
              <w:top w:val="single" w:sz="4" w:space="0" w:color="auto"/>
              <w:bottom w:val="nil"/>
              <w:right w:val="nil"/>
            </w:tcBorders>
            <w:shd w:val="clear" w:color="auto" w:fill="auto"/>
            <w:vAlign w:val="center"/>
          </w:tcPr>
          <w:p w14:paraId="1F6F11FF" w14:textId="7B579818" w:rsidR="00DB0BDE" w:rsidRPr="0064459A" w:rsidRDefault="0064459A" w:rsidP="00DB0BDE">
            <w:pPr>
              <w:jc w:val="right"/>
              <w:rPr>
                <w:rFonts w:asciiTheme="minorHAnsi" w:hAnsiTheme="minorHAnsi" w:cstheme="minorHAnsi"/>
                <w:b/>
                <w:bCs/>
                <w:color w:val="000000" w:themeColor="text1"/>
                <w:szCs w:val="20"/>
              </w:rPr>
            </w:pPr>
            <w:r w:rsidRPr="0064459A">
              <w:rPr>
                <w:b/>
                <w:bCs/>
                <w:color w:val="000000" w:themeColor="text1"/>
                <w:szCs w:val="20"/>
              </w:rPr>
              <w:t>6,11</w:t>
            </w:r>
            <w:r w:rsidR="00DB0BDE" w:rsidRPr="0064459A">
              <w:rPr>
                <w:b/>
                <w:bCs/>
                <w:color w:val="000000" w:themeColor="text1"/>
                <w:szCs w:val="20"/>
              </w:rPr>
              <w:t xml:space="preserve"> </w:t>
            </w:r>
          </w:p>
        </w:tc>
        <w:tc>
          <w:tcPr>
            <w:tcW w:w="1120" w:type="pct"/>
            <w:tcBorders>
              <w:top w:val="single" w:sz="4" w:space="0" w:color="auto"/>
              <w:left w:val="nil"/>
              <w:bottom w:val="nil"/>
              <w:right w:val="nil"/>
            </w:tcBorders>
            <w:vAlign w:val="center"/>
          </w:tcPr>
          <w:p w14:paraId="03121F6F" w14:textId="602708F1" w:rsidR="00DB0BDE" w:rsidRPr="0064459A" w:rsidRDefault="00DB0BDE" w:rsidP="00DB0BDE">
            <w:pPr>
              <w:jc w:val="right"/>
              <w:rPr>
                <w:rFonts w:asciiTheme="minorHAnsi" w:hAnsiTheme="minorHAnsi" w:cstheme="minorHAnsi"/>
                <w:b/>
                <w:bCs/>
                <w:color w:val="000000" w:themeColor="text1"/>
                <w:szCs w:val="20"/>
              </w:rPr>
            </w:pPr>
            <w:r w:rsidRPr="0064459A">
              <w:rPr>
                <w:b/>
                <w:bCs/>
                <w:color w:val="000000" w:themeColor="text1"/>
                <w:szCs w:val="20"/>
              </w:rPr>
              <w:t xml:space="preserve">4,64 </w:t>
            </w:r>
          </w:p>
        </w:tc>
      </w:tr>
    </w:tbl>
    <w:p w14:paraId="3A440583" w14:textId="3CF266AF" w:rsidR="00D7008C" w:rsidRPr="0064459A" w:rsidRDefault="00D7008C" w:rsidP="003547BB">
      <w:pPr>
        <w:pStyle w:val="af7"/>
        <w:spacing w:before="240"/>
        <w:rPr>
          <w:rFonts w:asciiTheme="minorHAnsi" w:hAnsiTheme="minorHAnsi" w:cstheme="minorHAnsi"/>
          <w:bCs/>
          <w:iCs/>
          <w:color w:val="000000" w:themeColor="text1"/>
          <w:lang w:eastAsia="uk-UA"/>
        </w:rPr>
      </w:pPr>
      <w:r w:rsidRPr="0064459A">
        <w:rPr>
          <w:rFonts w:asciiTheme="minorHAnsi" w:hAnsiTheme="minorHAnsi" w:cstheme="minorHAnsi"/>
          <w:color w:val="000000" w:themeColor="text1"/>
        </w:rPr>
        <w:t xml:space="preserve">Під терміном EBITDA мається на увазі аналітичний показник, що дорівнює обсягу прибутку до вирахування витрат за відсотками, сплати податків та амортизаційних відрахувань. </w:t>
      </w:r>
      <w:r w:rsidRPr="0064459A">
        <w:rPr>
          <w:rFonts w:asciiTheme="minorHAnsi" w:hAnsiTheme="minorHAnsi" w:cstheme="minorHAnsi"/>
          <w:bCs/>
          <w:iCs/>
          <w:color w:val="000000" w:themeColor="text1"/>
          <w:lang w:eastAsia="uk-UA"/>
        </w:rPr>
        <w:t>Протягом звітних періодів у підходах до управління капіталом змін не</w:t>
      </w:r>
      <w:r w:rsidR="0064459A" w:rsidRPr="0064459A">
        <w:rPr>
          <w:rFonts w:asciiTheme="minorHAnsi" w:hAnsiTheme="minorHAnsi" w:cstheme="minorHAnsi"/>
          <w:bCs/>
          <w:iCs/>
          <w:color w:val="000000" w:themeColor="text1"/>
          <w:lang w:eastAsia="uk-UA"/>
        </w:rPr>
        <w:t xml:space="preserve"> відбувалось. У 2020</w:t>
      </w:r>
      <w:r w:rsidRPr="0064459A">
        <w:rPr>
          <w:rFonts w:asciiTheme="minorHAnsi" w:hAnsiTheme="minorHAnsi" w:cstheme="minorHAnsi"/>
          <w:bCs/>
          <w:iCs/>
          <w:color w:val="000000" w:themeColor="text1"/>
          <w:lang w:eastAsia="uk-UA"/>
        </w:rPr>
        <w:t xml:space="preserve"> році показник EBITDA </w:t>
      </w:r>
      <w:r w:rsidR="00067EC4" w:rsidRPr="0064459A">
        <w:rPr>
          <w:rFonts w:asciiTheme="minorHAnsi" w:hAnsiTheme="minorHAnsi" w:cstheme="minorHAnsi"/>
          <w:bCs/>
          <w:iCs/>
          <w:color w:val="000000" w:themeColor="text1"/>
          <w:lang w:eastAsia="uk-UA"/>
        </w:rPr>
        <w:t>з</w:t>
      </w:r>
      <w:r w:rsidR="0064459A" w:rsidRPr="0064459A">
        <w:rPr>
          <w:rFonts w:asciiTheme="minorHAnsi" w:hAnsiTheme="minorHAnsi" w:cstheme="minorHAnsi"/>
          <w:bCs/>
          <w:iCs/>
          <w:color w:val="000000" w:themeColor="text1"/>
          <w:lang w:eastAsia="uk-UA"/>
        </w:rPr>
        <w:t>меншився</w:t>
      </w:r>
      <w:r w:rsidRPr="0064459A">
        <w:rPr>
          <w:rFonts w:asciiTheme="minorHAnsi" w:hAnsiTheme="minorHAnsi" w:cstheme="minorHAnsi"/>
          <w:bCs/>
          <w:iCs/>
          <w:color w:val="000000" w:themeColor="text1"/>
          <w:lang w:eastAsia="uk-UA"/>
        </w:rPr>
        <w:t xml:space="preserve"> на </w:t>
      </w:r>
      <w:r w:rsidR="0064459A" w:rsidRPr="0064459A">
        <w:rPr>
          <w:rFonts w:asciiTheme="minorHAnsi" w:hAnsiTheme="minorHAnsi" w:cstheme="minorHAnsi"/>
          <w:bCs/>
          <w:iCs/>
          <w:color w:val="000000" w:themeColor="text1"/>
          <w:lang w:eastAsia="uk-UA"/>
        </w:rPr>
        <w:t>56 868</w:t>
      </w:r>
      <w:r w:rsidR="00067EC4" w:rsidRPr="0064459A">
        <w:rPr>
          <w:rFonts w:asciiTheme="minorHAnsi" w:hAnsiTheme="minorHAnsi" w:cstheme="minorHAnsi"/>
          <w:bCs/>
          <w:iCs/>
          <w:color w:val="000000" w:themeColor="text1"/>
          <w:lang w:eastAsia="uk-UA"/>
        </w:rPr>
        <w:t> </w:t>
      </w:r>
      <w:r w:rsidRPr="0064459A">
        <w:rPr>
          <w:rFonts w:asciiTheme="minorHAnsi" w:hAnsiTheme="minorHAnsi" w:cstheme="minorHAnsi"/>
          <w:bCs/>
          <w:iCs/>
          <w:color w:val="000000" w:themeColor="text1"/>
          <w:lang w:eastAsia="uk-UA"/>
        </w:rPr>
        <w:t xml:space="preserve">тис. </w:t>
      </w:r>
      <w:r w:rsidR="00623B7B" w:rsidRPr="0064459A">
        <w:rPr>
          <w:rFonts w:asciiTheme="minorHAnsi" w:hAnsiTheme="minorHAnsi" w:cstheme="minorHAnsi"/>
          <w:bCs/>
          <w:iCs/>
          <w:color w:val="000000" w:themeColor="text1"/>
          <w:lang w:eastAsia="uk-UA"/>
        </w:rPr>
        <w:t>грн</w:t>
      </w:r>
      <w:r w:rsidRPr="0064459A">
        <w:rPr>
          <w:rFonts w:asciiTheme="minorHAnsi" w:hAnsiTheme="minorHAnsi" w:cstheme="minorHAnsi"/>
          <w:bCs/>
          <w:iCs/>
          <w:color w:val="000000" w:themeColor="text1"/>
          <w:lang w:eastAsia="uk-UA"/>
        </w:rPr>
        <w:t xml:space="preserve"> порівняно з 201</w:t>
      </w:r>
      <w:r w:rsidR="0064459A" w:rsidRPr="0064459A">
        <w:rPr>
          <w:rFonts w:asciiTheme="minorHAnsi" w:hAnsiTheme="minorHAnsi" w:cstheme="minorHAnsi"/>
          <w:bCs/>
          <w:iCs/>
          <w:color w:val="000000" w:themeColor="text1"/>
          <w:lang w:eastAsia="uk-UA"/>
        </w:rPr>
        <w:t>9</w:t>
      </w:r>
      <w:r w:rsidRPr="0064459A">
        <w:rPr>
          <w:rFonts w:asciiTheme="minorHAnsi" w:hAnsiTheme="minorHAnsi" w:cstheme="minorHAnsi"/>
          <w:bCs/>
          <w:iCs/>
          <w:color w:val="000000" w:themeColor="text1"/>
          <w:lang w:eastAsia="uk-UA"/>
        </w:rPr>
        <w:t xml:space="preserve"> роком.</w:t>
      </w:r>
    </w:p>
    <w:p w14:paraId="5E9434AD" w14:textId="5FD4726A" w:rsidR="00D7008C" w:rsidRPr="0064459A" w:rsidRDefault="00D7008C" w:rsidP="003A7D0C">
      <w:pPr>
        <w:numPr>
          <w:ilvl w:val="1"/>
          <w:numId w:val="2"/>
        </w:numPr>
        <w:tabs>
          <w:tab w:val="left" w:pos="284"/>
        </w:tabs>
        <w:spacing w:before="240" w:after="120"/>
        <w:ind w:left="0" w:right="11" w:firstLine="0"/>
        <w:rPr>
          <w:rFonts w:asciiTheme="minorHAnsi" w:hAnsiTheme="minorHAnsi" w:cstheme="minorHAnsi"/>
          <w:b/>
          <w:bCs/>
          <w:iCs/>
          <w:color w:val="000000" w:themeColor="text1"/>
          <w:szCs w:val="20"/>
          <w:lang w:eastAsia="uk-UA"/>
        </w:rPr>
      </w:pPr>
      <w:r w:rsidRPr="0064459A">
        <w:rPr>
          <w:rFonts w:asciiTheme="minorHAnsi" w:hAnsiTheme="minorHAnsi" w:cstheme="minorHAnsi"/>
          <w:b/>
          <w:bCs/>
          <w:iCs/>
          <w:color w:val="000000" w:themeColor="text1"/>
          <w:szCs w:val="20"/>
          <w:lang w:eastAsia="uk-UA"/>
        </w:rPr>
        <w:t>Операційний ризик</w:t>
      </w:r>
    </w:p>
    <w:p w14:paraId="76B5B2A0" w14:textId="0FBEFCA3" w:rsidR="00D7008C" w:rsidRPr="0064459A" w:rsidRDefault="0064459A" w:rsidP="00F24CEE">
      <w:pPr>
        <w:pStyle w:val="af7"/>
        <w:rPr>
          <w:rFonts w:asciiTheme="minorHAnsi" w:hAnsiTheme="minorHAnsi" w:cstheme="minorHAnsi"/>
          <w:color w:val="000000" w:themeColor="text1"/>
          <w:lang w:eastAsia="uk-UA"/>
        </w:rPr>
      </w:pPr>
      <w:r w:rsidRPr="0064459A">
        <w:rPr>
          <w:rFonts w:asciiTheme="minorHAnsi" w:hAnsiTheme="minorHAnsi" w:cstheme="minorHAnsi"/>
          <w:color w:val="000000" w:themeColor="text1"/>
          <w:lang w:eastAsia="uk-UA"/>
        </w:rPr>
        <w:t>У 2020</w:t>
      </w:r>
      <w:r w:rsidR="00D7008C" w:rsidRPr="0064459A">
        <w:rPr>
          <w:rFonts w:asciiTheme="minorHAnsi" w:hAnsiTheme="minorHAnsi" w:cstheme="minorHAnsi"/>
          <w:color w:val="000000" w:themeColor="text1"/>
          <w:lang w:eastAsia="uk-UA"/>
        </w:rPr>
        <w:t xml:space="preserve"> році фінансові результати Компанії </w:t>
      </w:r>
      <w:r w:rsidR="00F90056" w:rsidRPr="0064459A">
        <w:rPr>
          <w:rFonts w:asciiTheme="minorHAnsi" w:hAnsiTheme="minorHAnsi" w:cstheme="minorHAnsi"/>
          <w:color w:val="000000" w:themeColor="text1"/>
          <w:lang w:eastAsia="uk-UA"/>
        </w:rPr>
        <w:t xml:space="preserve">характеризуються як </w:t>
      </w:r>
      <w:r w:rsidR="00D7008C" w:rsidRPr="0064459A">
        <w:rPr>
          <w:rFonts w:asciiTheme="minorHAnsi" w:hAnsiTheme="minorHAnsi" w:cstheme="minorHAnsi"/>
          <w:color w:val="000000" w:themeColor="text1"/>
          <w:lang w:eastAsia="uk-UA"/>
        </w:rPr>
        <w:t>задовільні.</w:t>
      </w:r>
      <w:r w:rsidR="00D32580" w:rsidRPr="0064459A">
        <w:rPr>
          <w:rFonts w:asciiTheme="minorHAnsi" w:hAnsiTheme="minorHAnsi" w:cstheme="minorHAnsi"/>
          <w:color w:val="000000" w:themeColor="text1"/>
          <w:lang w:eastAsia="uk-UA"/>
        </w:rPr>
        <w:t xml:space="preserve"> У 20</w:t>
      </w:r>
      <w:r w:rsidRPr="0064459A">
        <w:rPr>
          <w:rFonts w:asciiTheme="minorHAnsi" w:hAnsiTheme="minorHAnsi" w:cstheme="minorHAnsi"/>
          <w:color w:val="000000" w:themeColor="text1"/>
          <w:lang w:eastAsia="uk-UA"/>
        </w:rPr>
        <w:t>20</w:t>
      </w:r>
      <w:r w:rsidR="00F90056" w:rsidRPr="0064459A">
        <w:rPr>
          <w:rFonts w:asciiTheme="minorHAnsi" w:hAnsiTheme="minorHAnsi" w:cstheme="minorHAnsi"/>
          <w:color w:val="000000" w:themeColor="text1"/>
          <w:lang w:eastAsia="uk-UA"/>
        </w:rPr>
        <w:t xml:space="preserve"> році прибуток </w:t>
      </w:r>
      <w:r w:rsidRPr="0064459A">
        <w:rPr>
          <w:rFonts w:asciiTheme="minorHAnsi" w:hAnsiTheme="minorHAnsi" w:cstheme="minorHAnsi"/>
          <w:color w:val="000000" w:themeColor="text1"/>
          <w:lang w:eastAsia="uk-UA"/>
        </w:rPr>
        <w:t xml:space="preserve">до оподаткування </w:t>
      </w:r>
      <w:r w:rsidR="00F90056" w:rsidRPr="0064459A">
        <w:rPr>
          <w:rFonts w:asciiTheme="minorHAnsi" w:hAnsiTheme="minorHAnsi" w:cstheme="minorHAnsi"/>
          <w:color w:val="000000" w:themeColor="text1"/>
          <w:lang w:eastAsia="uk-UA"/>
        </w:rPr>
        <w:t xml:space="preserve">склав </w:t>
      </w:r>
      <w:r w:rsidRPr="0064459A">
        <w:rPr>
          <w:rFonts w:asciiTheme="minorHAnsi" w:hAnsiTheme="minorHAnsi" w:cstheme="minorHAnsi"/>
          <w:color w:val="000000" w:themeColor="text1"/>
          <w:lang w:eastAsia="uk-UA"/>
        </w:rPr>
        <w:t xml:space="preserve">43 953 тис. </w:t>
      </w:r>
      <w:r w:rsidR="00623B7B" w:rsidRPr="0064459A">
        <w:rPr>
          <w:rFonts w:asciiTheme="minorHAnsi" w:hAnsiTheme="minorHAnsi" w:cstheme="minorHAnsi"/>
          <w:color w:val="000000" w:themeColor="text1"/>
          <w:lang w:eastAsia="uk-UA"/>
        </w:rPr>
        <w:t>грн</w:t>
      </w:r>
      <w:r w:rsidRPr="0064459A">
        <w:rPr>
          <w:rFonts w:asciiTheme="minorHAnsi" w:hAnsiTheme="minorHAnsi" w:cstheme="minorHAnsi"/>
          <w:color w:val="000000" w:themeColor="text1"/>
          <w:lang w:eastAsia="uk-UA"/>
        </w:rPr>
        <w:t xml:space="preserve">, що </w:t>
      </w:r>
      <w:r w:rsidR="00D7008C" w:rsidRPr="0064459A">
        <w:rPr>
          <w:rFonts w:asciiTheme="minorHAnsi" w:hAnsiTheme="minorHAnsi" w:cstheme="minorHAnsi"/>
          <w:color w:val="000000" w:themeColor="text1"/>
          <w:lang w:eastAsia="uk-UA"/>
        </w:rPr>
        <w:t xml:space="preserve">у порівнянні з прибутком </w:t>
      </w:r>
      <w:r w:rsidR="00D32580" w:rsidRPr="0064459A">
        <w:rPr>
          <w:rFonts w:asciiTheme="minorHAnsi" w:hAnsiTheme="minorHAnsi" w:cstheme="minorHAnsi"/>
          <w:color w:val="000000" w:themeColor="text1"/>
          <w:lang w:eastAsia="uk-UA"/>
        </w:rPr>
        <w:t xml:space="preserve">у сумі </w:t>
      </w:r>
      <w:r w:rsidRPr="0064459A">
        <w:rPr>
          <w:rFonts w:asciiTheme="minorHAnsi" w:hAnsiTheme="minorHAnsi" w:cstheme="minorHAnsi"/>
          <w:color w:val="000000" w:themeColor="text1"/>
          <w:lang w:eastAsia="uk-UA"/>
        </w:rPr>
        <w:t>110 484</w:t>
      </w:r>
      <w:r w:rsidR="003274C8" w:rsidRPr="0064459A">
        <w:rPr>
          <w:rFonts w:asciiTheme="minorHAnsi" w:hAnsiTheme="minorHAnsi" w:cstheme="minorHAnsi"/>
          <w:color w:val="000000" w:themeColor="text1"/>
          <w:lang w:eastAsia="uk-UA"/>
        </w:rPr>
        <w:t> </w:t>
      </w:r>
      <w:r w:rsidR="00D32580" w:rsidRPr="0064459A">
        <w:rPr>
          <w:rFonts w:asciiTheme="minorHAnsi" w:hAnsiTheme="minorHAnsi" w:cstheme="minorHAnsi"/>
          <w:color w:val="000000" w:themeColor="text1"/>
          <w:lang w:eastAsia="uk-UA"/>
        </w:rPr>
        <w:t>тис. грн. у 201</w:t>
      </w:r>
      <w:r w:rsidRPr="0064459A">
        <w:rPr>
          <w:rFonts w:asciiTheme="minorHAnsi" w:hAnsiTheme="minorHAnsi" w:cstheme="minorHAnsi"/>
          <w:color w:val="000000" w:themeColor="text1"/>
          <w:lang w:eastAsia="uk-UA"/>
        </w:rPr>
        <w:t>9 зменшився на 60%</w:t>
      </w:r>
      <w:r w:rsidR="00F90056" w:rsidRPr="0064459A">
        <w:rPr>
          <w:rFonts w:asciiTheme="minorHAnsi" w:hAnsiTheme="minorHAnsi" w:cstheme="minorHAnsi"/>
          <w:color w:val="000000" w:themeColor="text1"/>
          <w:lang w:eastAsia="uk-UA"/>
        </w:rPr>
        <w:t xml:space="preserve">. </w:t>
      </w:r>
      <w:r w:rsidR="00D7008C" w:rsidRPr="0064459A">
        <w:rPr>
          <w:rFonts w:asciiTheme="minorHAnsi" w:hAnsiTheme="minorHAnsi" w:cstheme="minorHAnsi"/>
          <w:color w:val="000000" w:themeColor="text1"/>
          <w:lang w:eastAsia="uk-UA"/>
        </w:rPr>
        <w:t xml:space="preserve">Показник EBITDA </w:t>
      </w:r>
      <w:r w:rsidR="004B7218">
        <w:rPr>
          <w:rFonts w:asciiTheme="minorHAnsi" w:hAnsiTheme="minorHAnsi" w:cstheme="minorHAnsi"/>
          <w:color w:val="000000" w:themeColor="text1"/>
          <w:lang w:eastAsia="uk-UA"/>
        </w:rPr>
        <w:t>зменшився</w:t>
      </w:r>
      <w:r w:rsidR="00D7008C" w:rsidRPr="0064459A">
        <w:rPr>
          <w:rFonts w:asciiTheme="minorHAnsi" w:hAnsiTheme="minorHAnsi" w:cstheme="minorHAnsi"/>
          <w:color w:val="000000" w:themeColor="text1"/>
          <w:lang w:eastAsia="uk-UA"/>
        </w:rPr>
        <w:t xml:space="preserve"> у</w:t>
      </w:r>
      <w:r w:rsidR="007C219C" w:rsidRPr="0064459A">
        <w:rPr>
          <w:rFonts w:asciiTheme="minorHAnsi" w:hAnsiTheme="minorHAnsi" w:cstheme="minorHAnsi"/>
          <w:color w:val="000000" w:themeColor="text1"/>
          <w:lang w:eastAsia="uk-UA"/>
        </w:rPr>
        <w:t xml:space="preserve"> 20</w:t>
      </w:r>
      <w:r w:rsidRPr="0064459A">
        <w:rPr>
          <w:rFonts w:asciiTheme="minorHAnsi" w:hAnsiTheme="minorHAnsi" w:cstheme="minorHAnsi"/>
          <w:color w:val="000000" w:themeColor="text1"/>
          <w:lang w:eastAsia="uk-UA"/>
        </w:rPr>
        <w:t>20</w:t>
      </w:r>
      <w:r w:rsidR="00D7008C" w:rsidRPr="0064459A">
        <w:rPr>
          <w:rFonts w:asciiTheme="minorHAnsi" w:hAnsiTheme="minorHAnsi" w:cstheme="minorHAnsi"/>
          <w:color w:val="000000" w:themeColor="text1"/>
          <w:lang w:eastAsia="uk-UA"/>
        </w:rPr>
        <w:t xml:space="preserve"> році у порівнянні з 201</w:t>
      </w:r>
      <w:r w:rsidRPr="0064459A">
        <w:rPr>
          <w:rFonts w:asciiTheme="minorHAnsi" w:hAnsiTheme="minorHAnsi" w:cstheme="minorHAnsi"/>
          <w:color w:val="000000" w:themeColor="text1"/>
          <w:lang w:eastAsia="uk-UA"/>
        </w:rPr>
        <w:t>9</w:t>
      </w:r>
      <w:r w:rsidR="004B7218">
        <w:rPr>
          <w:rFonts w:asciiTheme="minorHAnsi" w:hAnsiTheme="minorHAnsi" w:cstheme="minorHAnsi"/>
          <w:color w:val="000000" w:themeColor="text1"/>
          <w:lang w:eastAsia="uk-UA"/>
        </w:rPr>
        <w:t xml:space="preserve"> роком на 17,1 %</w:t>
      </w:r>
      <w:r w:rsidR="0087693A" w:rsidRPr="0064459A">
        <w:rPr>
          <w:rFonts w:asciiTheme="minorHAnsi" w:hAnsiTheme="minorHAnsi" w:cstheme="minorHAnsi"/>
          <w:color w:val="000000" w:themeColor="text1"/>
          <w:lang w:eastAsia="uk-UA"/>
        </w:rPr>
        <w:t>.</w:t>
      </w:r>
    </w:p>
    <w:p w14:paraId="3392A5E7" w14:textId="77777777" w:rsidR="00920BA5" w:rsidRPr="0047373B" w:rsidRDefault="00EE258E" w:rsidP="00AB3C61">
      <w:pPr>
        <w:pStyle w:val="1"/>
        <w:rPr>
          <w:color w:val="000000" w:themeColor="text1"/>
        </w:rPr>
      </w:pPr>
      <w:bookmarkStart w:id="147" w:name="_Toc475007918"/>
      <w:bookmarkStart w:id="148" w:name="_Toc475522365"/>
      <w:bookmarkStart w:id="149" w:name="_Toc68253981"/>
      <w:r w:rsidRPr="0047373B">
        <w:rPr>
          <w:color w:val="000000" w:themeColor="text1"/>
        </w:rPr>
        <w:t>Події після звітної дати</w:t>
      </w:r>
      <w:bookmarkEnd w:id="147"/>
      <w:bookmarkEnd w:id="148"/>
      <w:bookmarkEnd w:id="149"/>
    </w:p>
    <w:p w14:paraId="613AB5CA" w14:textId="77777777" w:rsidR="00824BD0" w:rsidRPr="00C1399B" w:rsidRDefault="00824BD0" w:rsidP="00824BD0">
      <w:pPr>
        <w:shd w:val="clear" w:color="auto" w:fill="FFFFFF"/>
        <w:spacing w:before="120" w:after="120"/>
        <w:rPr>
          <w:szCs w:val="20"/>
        </w:rPr>
      </w:pPr>
      <w:r w:rsidRPr="00A602B9">
        <w:rPr>
          <w:szCs w:val="20"/>
        </w:rPr>
        <w:t>Слід зауважити, що с</w:t>
      </w:r>
      <w:r w:rsidRPr="00C1399B">
        <w:rPr>
          <w:szCs w:val="20"/>
        </w:rPr>
        <w:t xml:space="preserve">палах COVID-19 </w:t>
      </w:r>
      <w:r w:rsidRPr="00A602B9">
        <w:rPr>
          <w:szCs w:val="20"/>
        </w:rPr>
        <w:t xml:space="preserve">продовжує </w:t>
      </w:r>
      <w:r w:rsidRPr="00C1399B">
        <w:rPr>
          <w:szCs w:val="20"/>
        </w:rPr>
        <w:t>швидко розвива</w:t>
      </w:r>
      <w:r w:rsidRPr="00A602B9">
        <w:rPr>
          <w:szCs w:val="20"/>
        </w:rPr>
        <w:t>тись</w:t>
      </w:r>
      <w:r w:rsidRPr="00C1399B">
        <w:rPr>
          <w:szCs w:val="20"/>
        </w:rPr>
        <w:t xml:space="preserve"> в 20</w:t>
      </w:r>
      <w:r w:rsidRPr="00A602B9">
        <w:rPr>
          <w:szCs w:val="20"/>
        </w:rPr>
        <w:t xml:space="preserve">21 році, </w:t>
      </w:r>
      <w:r w:rsidRPr="00C1399B">
        <w:rPr>
          <w:szCs w:val="20"/>
        </w:rPr>
        <w:t xml:space="preserve">маючи значний вплив на економіку та соціальне життя </w:t>
      </w:r>
      <w:r w:rsidRPr="00A602B9">
        <w:rPr>
          <w:szCs w:val="20"/>
        </w:rPr>
        <w:t xml:space="preserve">громадян </w:t>
      </w:r>
      <w:r w:rsidRPr="00C1399B">
        <w:rPr>
          <w:szCs w:val="20"/>
        </w:rPr>
        <w:t>через значну кількість інфікувань. Заходи, які вживали різні уряди та український уряд, зокрема, для стримування вірусу, вплинули на економічну активність</w:t>
      </w:r>
      <w:r w:rsidRPr="00A602B9">
        <w:rPr>
          <w:szCs w:val="20"/>
        </w:rPr>
        <w:t xml:space="preserve"> у всіх сферах діяльності</w:t>
      </w:r>
      <w:r w:rsidRPr="00C1399B">
        <w:rPr>
          <w:szCs w:val="20"/>
        </w:rPr>
        <w:t>.</w:t>
      </w:r>
    </w:p>
    <w:p w14:paraId="245CEB63" w14:textId="77777777" w:rsidR="00824BD0" w:rsidRPr="00C1399B" w:rsidRDefault="00824BD0" w:rsidP="00824BD0">
      <w:pPr>
        <w:shd w:val="clear" w:color="auto" w:fill="FFFFFF"/>
        <w:spacing w:before="120" w:after="120"/>
        <w:rPr>
          <w:szCs w:val="20"/>
        </w:rPr>
      </w:pPr>
      <w:r w:rsidRPr="00C1399B">
        <w:rPr>
          <w:szCs w:val="20"/>
        </w:rPr>
        <w:t xml:space="preserve">Керівництво Компанії </w:t>
      </w:r>
      <w:r>
        <w:rPr>
          <w:szCs w:val="20"/>
        </w:rPr>
        <w:t>пр</w:t>
      </w:r>
      <w:r w:rsidRPr="00A602B9">
        <w:rPr>
          <w:szCs w:val="20"/>
        </w:rPr>
        <w:t xml:space="preserve">одовжує вживати </w:t>
      </w:r>
      <w:r w:rsidRPr="00C1399B">
        <w:rPr>
          <w:szCs w:val="20"/>
        </w:rPr>
        <w:t>низку заходів для моніторингу та запобігання н</w:t>
      </w:r>
      <w:r w:rsidRPr="00A602B9">
        <w:rPr>
          <w:szCs w:val="20"/>
        </w:rPr>
        <w:t xml:space="preserve">аслідків вірусу COVID-19, у тому числі таких </w:t>
      </w:r>
      <w:r w:rsidRPr="00C1399B">
        <w:rPr>
          <w:szCs w:val="20"/>
        </w:rPr>
        <w:t xml:space="preserve">заходів безпеки та гігієни здоров'я для </w:t>
      </w:r>
      <w:r w:rsidRPr="00A602B9">
        <w:rPr>
          <w:szCs w:val="20"/>
        </w:rPr>
        <w:t xml:space="preserve">робітників, </w:t>
      </w:r>
      <w:r w:rsidRPr="00C1399B">
        <w:rPr>
          <w:szCs w:val="20"/>
        </w:rPr>
        <w:t>як соціальне дистанціювання та робота з дому</w:t>
      </w:r>
      <w:r w:rsidRPr="00A602B9">
        <w:rPr>
          <w:szCs w:val="20"/>
        </w:rPr>
        <w:t>,</w:t>
      </w:r>
      <w:r w:rsidRPr="00C1399B">
        <w:rPr>
          <w:szCs w:val="20"/>
        </w:rPr>
        <w:t xml:space="preserve"> та забезпечення постачання матеріалів, </w:t>
      </w:r>
      <w:r w:rsidRPr="00A602B9">
        <w:rPr>
          <w:szCs w:val="20"/>
        </w:rPr>
        <w:t>що</w:t>
      </w:r>
      <w:r w:rsidRPr="00C1399B">
        <w:rPr>
          <w:szCs w:val="20"/>
        </w:rPr>
        <w:t xml:space="preserve"> мають важливе значення для господарської діяльності Компанії</w:t>
      </w:r>
      <w:r w:rsidRPr="00A602B9">
        <w:rPr>
          <w:szCs w:val="20"/>
        </w:rPr>
        <w:t>.</w:t>
      </w:r>
    </w:p>
    <w:p w14:paraId="1BBF091D" w14:textId="77777777" w:rsidR="00824BD0" w:rsidRPr="002E5515" w:rsidRDefault="00824BD0" w:rsidP="00824BD0">
      <w:pPr>
        <w:shd w:val="clear" w:color="auto" w:fill="FFFFFF"/>
        <w:spacing w:before="120" w:after="120"/>
        <w:rPr>
          <w:szCs w:val="20"/>
        </w:rPr>
      </w:pPr>
      <w:r w:rsidRPr="00C1399B">
        <w:rPr>
          <w:szCs w:val="20"/>
        </w:rPr>
        <w:t xml:space="preserve">На цьому етапі вплив на бізнес та результати Компанії обмежений. Керівництво і надалі буде слідувати політиці та порадам різних національних інститутів, </w:t>
      </w:r>
      <w:r w:rsidRPr="00A602B9">
        <w:rPr>
          <w:szCs w:val="20"/>
        </w:rPr>
        <w:t>і</w:t>
      </w:r>
      <w:r w:rsidRPr="00C1399B">
        <w:rPr>
          <w:szCs w:val="20"/>
        </w:rPr>
        <w:t xml:space="preserve"> паралельно робитиме все можливе, щоб продовжувати діяльність найкращим і безпечним способом, не загрожуючи здоров'ю інших людей</w:t>
      </w:r>
      <w:r w:rsidRPr="00A602B9">
        <w:rPr>
          <w:szCs w:val="20"/>
        </w:rPr>
        <w:t>.</w:t>
      </w:r>
    </w:p>
    <w:sectPr w:rsidR="00824BD0" w:rsidRPr="002E5515" w:rsidSect="004220AB">
      <w:headerReference w:type="even" r:id="rId18"/>
      <w:headerReference w:type="default" r:id="rId19"/>
      <w:footerReference w:type="default" r:id="rId20"/>
      <w:headerReference w:type="first" r:id="rId21"/>
      <w:pgSz w:w="11906" w:h="16838" w:code="9"/>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DABD" w14:textId="77777777" w:rsidR="00B07EE2" w:rsidRDefault="00B07EE2">
      <w:r>
        <w:separator/>
      </w:r>
    </w:p>
  </w:endnote>
  <w:endnote w:type="continuationSeparator" w:id="0">
    <w:p w14:paraId="12A9CC1C" w14:textId="77777777" w:rsidR="00B07EE2" w:rsidRDefault="00B0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PMG Logo">
    <w:altName w:val="Courier New"/>
    <w:panose1 w:val="00000000000000000000"/>
    <w:charset w:val="00"/>
    <w:family w:val="auto"/>
    <w:notTrueType/>
    <w:pitch w:val="variable"/>
    <w:sig w:usb0="00000003" w:usb1="00000000" w:usb2="00000000" w:usb3="00000000" w:csb0="00000001" w:csb1="00000000"/>
  </w:font>
  <w:font w:name="Arial,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9020" w14:textId="661EC6B2" w:rsidR="00B07EE2" w:rsidRPr="008D3D0E" w:rsidRDefault="00B07EE2" w:rsidP="006356D0">
    <w:pPr>
      <w:pStyle w:val="a3"/>
      <w:pBdr>
        <w:top w:val="single" w:sz="4" w:space="1" w:color="auto"/>
      </w:pBdr>
      <w:tabs>
        <w:tab w:val="left" w:pos="2055"/>
        <w:tab w:val="right" w:pos="9637"/>
      </w:tabs>
      <w:jc w:val="left"/>
    </w:pPr>
    <w:r>
      <w:ptab w:relativeTo="margin" w:alignment="right" w:leader="none"/>
    </w:r>
    <w:r>
      <w:fldChar w:fldCharType="begin"/>
    </w:r>
    <w:r>
      <w:instrText xml:space="preserve"> PAGE   \* MERGEFORMAT </w:instrText>
    </w:r>
    <w:r>
      <w:fldChar w:fldCharType="separate"/>
    </w:r>
    <w:r w:rsidR="009353F4">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189E" w14:textId="29AA91D1" w:rsidR="00B07EE2" w:rsidRPr="008D3D0E" w:rsidRDefault="00B07EE2" w:rsidP="00DD6A14">
    <w:pPr>
      <w:pStyle w:val="a3"/>
      <w:pBdr>
        <w:top w:val="single" w:sz="4" w:space="1" w:color="auto"/>
      </w:pBdr>
      <w:tabs>
        <w:tab w:val="left" w:pos="2055"/>
        <w:tab w:val="right" w:pos="9637"/>
      </w:tabs>
      <w:jc w:val="left"/>
    </w:pPr>
    <w:r>
      <w:ptab w:relativeTo="margin" w:alignment="right" w:leader="none"/>
    </w:r>
    <w:r>
      <w:fldChar w:fldCharType="begin"/>
    </w:r>
    <w:r>
      <w:instrText xml:space="preserve"> PAGE   \* MERGEFORMAT </w:instrText>
    </w:r>
    <w:r>
      <w:fldChar w:fldCharType="separate"/>
    </w:r>
    <w:r w:rsidR="009353F4">
      <w:rPr>
        <w:noProof/>
      </w:rPr>
      <w:t>51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C116" w14:textId="77777777" w:rsidR="00B07EE2" w:rsidRDefault="00B07EE2" w:rsidP="00AB5F84">
    <w:pPr>
      <w:pStyle w:val="a3"/>
      <w:jc w:val="right"/>
    </w:pPr>
  </w:p>
  <w:p w14:paraId="15DD12F4" w14:textId="5E068D71" w:rsidR="00B07EE2" w:rsidRPr="00AB5F84" w:rsidRDefault="00B07EE2" w:rsidP="001F014E">
    <w:pPr>
      <w:pStyle w:val="a3"/>
      <w:pBdr>
        <w:top w:val="single" w:sz="4" w:space="1" w:color="auto"/>
      </w:pBdr>
      <w:tabs>
        <w:tab w:val="left" w:pos="2055"/>
        <w:tab w:val="right" w:pos="9637"/>
      </w:tabs>
      <w:jc w:val="right"/>
    </w:pPr>
    <w:r>
      <w:fldChar w:fldCharType="begin"/>
    </w:r>
    <w:r>
      <w:instrText xml:space="preserve"> PAGE   \* MERGEFORMAT </w:instrText>
    </w:r>
    <w:r>
      <w:fldChar w:fldCharType="separate"/>
    </w:r>
    <w:r w:rsidR="009353F4">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1373" w14:textId="77777777" w:rsidR="00B07EE2" w:rsidRDefault="00B07EE2">
      <w:r>
        <w:separator/>
      </w:r>
    </w:p>
  </w:footnote>
  <w:footnote w:type="continuationSeparator" w:id="0">
    <w:p w14:paraId="3D614C6C" w14:textId="77777777" w:rsidR="00B07EE2" w:rsidRDefault="00B0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F520" w14:textId="2199FEC1" w:rsidR="00B07EE2" w:rsidRDefault="00B07EE2">
    <w:pPr>
      <w:pStyle w:val="ad"/>
    </w:pPr>
    <w:r>
      <w:rPr>
        <w:noProof/>
        <w:lang w:val="ru-RU"/>
      </w:rPr>
      <mc:AlternateContent>
        <mc:Choice Requires="wps">
          <w:drawing>
            <wp:anchor distT="0" distB="0" distL="114300" distR="114300" simplePos="0" relativeHeight="251685888" behindDoc="1" locked="0" layoutInCell="0" allowOverlap="1" wp14:anchorId="48A8D37A" wp14:editId="6EBCE0FB">
              <wp:simplePos x="0" y="0"/>
              <wp:positionH relativeFrom="margin">
                <wp:align>center</wp:align>
              </wp:positionH>
              <wp:positionV relativeFrom="margin">
                <wp:align>center</wp:align>
              </wp:positionV>
              <wp:extent cx="6163310" cy="2465070"/>
              <wp:effectExtent l="0" t="1666875" r="0" b="135445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7A25A9" w14:textId="77777777" w:rsidR="00B07EE2" w:rsidRDefault="00B07EE2" w:rsidP="00D14C80">
                          <w:pPr>
                            <w:pStyle w:val="af6"/>
                            <w:jc w:val="center"/>
                          </w:pPr>
                          <w:r>
                            <w:rPr>
                              <w:rFonts w:ascii="Arial" w:hAnsi="Arial" w:cs="Arial"/>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A8D37A" id="_x0000_t202" coordsize="21600,21600" o:spt="202" path="m,l,21600r21600,l21600,xe">
              <v:stroke joinstyle="miter"/>
              <v:path gradientshapeok="t" o:connecttype="rect"/>
            </v:shapetype>
            <v:shape id="Надпись 62" o:spid="_x0000_s1030" type="#_x0000_t202" style="position:absolute;left:0;text-align:left;margin-left:0;margin-top:0;width:485.3pt;height:194.1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" o:allowincell="f" filled="f" stroked="f">
              <v:stroke joinstyle="round"/>
              <o:lock v:ext="edit" shapetype="t"/>
              <v:textbox style="mso-fit-shape-to-text:t">
                <w:txbxContent>
                  <w:p w14:paraId="417A25A9" w14:textId="77777777" w:rsidR="00B07EE2" w:rsidRDefault="00B07EE2" w:rsidP="00D14C80">
                    <w:pPr>
                      <w:pStyle w:val="af6"/>
                      <w:jc w:val="center"/>
                    </w:pPr>
                    <w:r>
                      <w:rPr>
                        <w:rFonts w:ascii="Arial" w:hAnsi="Arial" w:cs="Arial"/>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8E68" w14:textId="2BCF05CF" w:rsidR="00B07EE2" w:rsidRPr="004070A2" w:rsidRDefault="00B07EE2" w:rsidP="003267E9">
    <w:pPr>
      <w:pBdr>
        <w:bottom w:val="single" w:sz="4" w:space="8" w:color="auto"/>
      </w:pBdr>
      <w:jc w:val="center"/>
      <w:rPr>
        <w:lang w:val="ru-RU"/>
      </w:rPr>
    </w:pPr>
    <w:r>
      <w:rPr>
        <w:b/>
        <w:caps/>
        <w:color w:val="auto"/>
        <w:szCs w:val="20"/>
      </w:rPr>
      <w:t>А</w:t>
    </w:r>
    <w:r w:rsidRPr="00483BA3">
      <w:rPr>
        <w:b/>
        <w:caps/>
        <w:color w:val="auto"/>
        <w:szCs w:val="20"/>
      </w:rPr>
      <w:t>кціонерне товариство «</w:t>
    </w:r>
    <w:r>
      <w:rPr>
        <w:b/>
        <w:caps/>
        <w:color w:val="auto"/>
        <w:szCs w:val="20"/>
        <w:lang w:val="ru-RU"/>
      </w:rPr>
      <w:t>галичфарм</w:t>
    </w:r>
    <w:r w:rsidRPr="00483BA3">
      <w:rPr>
        <w:b/>
        <w:caps/>
        <w:color w:val="auto"/>
        <w:szCs w:val="20"/>
      </w:rPr>
      <w:t>»</w:t>
    </w:r>
  </w:p>
  <w:p w14:paraId="6E3CE669" w14:textId="77777777" w:rsidR="00B07EE2" w:rsidRPr="000D253B" w:rsidRDefault="00B07EE2" w:rsidP="003267E9">
    <w:pPr>
      <w:rPr>
        <w:b/>
        <w:color w:val="000000" w:themeColor="text1"/>
        <w:lang w:val="ru-RU"/>
      </w:rPr>
    </w:pPr>
  </w:p>
  <w:p w14:paraId="31603C4D" w14:textId="77777777" w:rsidR="00B07EE2" w:rsidRPr="000D253B" w:rsidRDefault="00B07EE2" w:rsidP="003267E9">
    <w:pPr>
      <w:rPr>
        <w:b/>
        <w:color w:val="000000" w:themeColor="text1"/>
      </w:rPr>
    </w:pPr>
    <w:r w:rsidRPr="000D253B">
      <w:rPr>
        <w:b/>
        <w:color w:val="000000" w:themeColor="text1"/>
      </w:rPr>
      <w:t>ПРИМІТКИ ДО ФІНАНСОВОЇ ЗВІТНОСТІ</w:t>
    </w:r>
  </w:p>
  <w:p w14:paraId="53F6124A" w14:textId="2C6F514F" w:rsidR="00B07EE2" w:rsidRDefault="00B07EE2" w:rsidP="003267E9">
    <w:pPr>
      <w:spacing w:before="60"/>
      <w:rPr>
        <w:b/>
        <w:color w:val="auto"/>
        <w:szCs w:val="20"/>
      </w:rPr>
    </w:pPr>
    <w:r w:rsidRPr="000D253B">
      <w:rPr>
        <w:b/>
        <w:color w:val="000000" w:themeColor="text1"/>
        <w:lang w:eastAsia="uk-UA"/>
      </w:rPr>
      <w:t xml:space="preserve">за рік, </w:t>
    </w:r>
    <w:r>
      <w:rPr>
        <w:b/>
        <w:lang w:eastAsia="uk-UA"/>
      </w:rPr>
      <w:t>що закінчився 31 грудня 2020</w:t>
    </w:r>
    <w:r w:rsidRPr="00FF72D6">
      <w:rPr>
        <w:b/>
        <w:lang w:eastAsia="uk-UA"/>
      </w:rPr>
      <w:t xml:space="preserve"> </w:t>
    </w:r>
    <w:r>
      <w:rPr>
        <w:b/>
        <w:lang w:eastAsia="uk-UA"/>
      </w:rPr>
      <w:t xml:space="preserve">року </w:t>
    </w:r>
    <w:r w:rsidRPr="00C76308">
      <w:rPr>
        <w:rFonts w:asciiTheme="minorHAnsi" w:hAnsiTheme="minorHAnsi" w:cstheme="minorHAnsi"/>
        <w:b/>
        <w:szCs w:val="20"/>
      </w:rPr>
      <w:t>(</w:t>
    </w:r>
    <w:r w:rsidRPr="00C76308">
      <w:rPr>
        <w:rFonts w:asciiTheme="minorHAnsi" w:hAnsiTheme="minorHAnsi" w:cstheme="minorHAnsi"/>
        <w:b/>
        <w:i/>
        <w:szCs w:val="20"/>
      </w:rPr>
      <w:t>у тисячах гривень</w:t>
    </w:r>
    <w:r w:rsidRPr="00C76308">
      <w:rPr>
        <w:rFonts w:asciiTheme="minorHAnsi" w:hAnsiTheme="minorHAnsi" w:cstheme="minorHAnsi"/>
        <w:b/>
        <w:szCs w:val="20"/>
      </w:rPr>
      <w:t>)</w:t>
    </w:r>
  </w:p>
  <w:p w14:paraId="22288331" w14:textId="77777777" w:rsidR="00B07EE2" w:rsidRDefault="00B07EE2" w:rsidP="003267E9">
    <w:pPr>
      <w:pBdr>
        <w:bottom w:val="single" w:sz="4" w:space="1" w:color="auto"/>
      </w:pBdr>
      <w:rPr>
        <w:b/>
        <w:color w:val="auto"/>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F6B5" w14:textId="7FDECE37" w:rsidR="00B07EE2" w:rsidRDefault="00B07EE2">
    <w:pPr>
      <w:pStyle w:val="ad"/>
    </w:pPr>
    <w:r>
      <w:rPr>
        <w:noProof/>
        <w:lang w:val="ru-RU"/>
      </w:rPr>
      <mc:AlternateContent>
        <mc:Choice Requires="wps">
          <w:drawing>
            <wp:anchor distT="0" distB="0" distL="114300" distR="114300" simplePos="0" relativeHeight="251683840" behindDoc="1" locked="0" layoutInCell="0" allowOverlap="1" wp14:anchorId="365D4837" wp14:editId="1C78A7E1">
              <wp:simplePos x="0" y="0"/>
              <wp:positionH relativeFrom="margin">
                <wp:align>center</wp:align>
              </wp:positionH>
              <wp:positionV relativeFrom="margin">
                <wp:align>center</wp:align>
              </wp:positionV>
              <wp:extent cx="6163310" cy="2465070"/>
              <wp:effectExtent l="0" t="1666875" r="0" b="135445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549D9" w14:textId="77777777" w:rsidR="00B07EE2" w:rsidRDefault="00B07EE2" w:rsidP="00D14C80">
                          <w:pPr>
                            <w:pStyle w:val="af6"/>
                            <w:jc w:val="center"/>
                          </w:pPr>
                          <w:r>
                            <w:rPr>
                              <w:rFonts w:ascii="Arial" w:hAnsi="Arial" w:cs="Arial"/>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5D4837" id="_x0000_t202" coordsize="21600,21600" o:spt="202" path="m,l,21600r21600,l21600,xe">
              <v:stroke joinstyle="miter"/>
              <v:path gradientshapeok="t" o:connecttype="rect"/>
            </v:shapetype>
            <v:shape id="Надпись 61" o:spid="_x0000_s1031" type="#_x0000_t202" style="position:absolute;left:0;text-align:left;margin-left:0;margin-top:0;width:485.3pt;height:194.1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" o:allowincell="f" filled="f" stroked="f">
              <v:stroke joinstyle="round"/>
              <o:lock v:ext="edit" shapetype="t"/>
              <v:textbox style="mso-fit-shape-to-text:t">
                <w:txbxContent>
                  <w:p w14:paraId="4FF549D9" w14:textId="77777777" w:rsidR="00B07EE2" w:rsidRDefault="00B07EE2" w:rsidP="00D14C80">
                    <w:pPr>
                      <w:pStyle w:val="af6"/>
                      <w:jc w:val="center"/>
                    </w:pPr>
                    <w:r>
                      <w:rPr>
                        <w:rFonts w:ascii="Arial" w:hAnsi="Arial" w:cs="Arial"/>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A9E4" w14:textId="73B6286A" w:rsidR="00B07EE2" w:rsidRDefault="009353F4">
    <w:pPr>
      <w:pStyle w:val="ad"/>
    </w:pPr>
    <w:r>
      <w:rPr>
        <w:noProof/>
      </w:rPr>
      <w:pict w14:anchorId="60BFB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485.3pt;height:194.1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85ABB" w14:textId="2E3966BE" w:rsidR="00B07EE2" w:rsidRPr="005449DD" w:rsidRDefault="00B07EE2">
    <w:pPr>
      <w:rPr>
        <w:sz w:val="2"/>
        <w:szCs w:val="2"/>
      </w:rPr>
    </w:pPr>
  </w:p>
  <w:p w14:paraId="363D8569" w14:textId="2EBE2EE2" w:rsidR="00B07EE2" w:rsidRPr="004070A2" w:rsidRDefault="00B07EE2" w:rsidP="00512CFA">
    <w:pPr>
      <w:pBdr>
        <w:bottom w:val="single" w:sz="4" w:space="6" w:color="auto"/>
      </w:pBdr>
      <w:jc w:val="center"/>
      <w:rPr>
        <w:lang w:val="ru-RU"/>
      </w:rPr>
    </w:pPr>
    <w:r w:rsidRPr="00483BA3">
      <w:rPr>
        <w:b/>
        <w:caps/>
        <w:color w:val="auto"/>
        <w:szCs w:val="20"/>
      </w:rPr>
      <w:t>акціонерне товариство «</w:t>
    </w:r>
    <w:r>
      <w:rPr>
        <w:b/>
        <w:caps/>
        <w:color w:val="auto"/>
        <w:szCs w:val="20"/>
        <w:lang w:val="ru-RU"/>
      </w:rPr>
      <w:t>галичфарм</w:t>
    </w:r>
    <w:r w:rsidRPr="00483BA3">
      <w:rPr>
        <w:b/>
        <w:caps/>
        <w:color w:val="auto"/>
        <w:szCs w:val="20"/>
      </w:rPr>
      <w:t>»</w:t>
    </w:r>
    <w:r w:rsidRPr="00512CFA">
      <w:rPr>
        <w:noProof/>
        <w:lang w:val="ru-RU"/>
      </w:rPr>
      <w:t xml:space="preserve"> </w:t>
    </w:r>
  </w:p>
  <w:p w14:paraId="523700B3" w14:textId="77777777" w:rsidR="00B07EE2" w:rsidRPr="000D253B" w:rsidRDefault="00B07EE2" w:rsidP="009B763A">
    <w:pPr>
      <w:rPr>
        <w:b/>
        <w:color w:val="000000" w:themeColor="text1"/>
        <w:lang w:val="ru-RU"/>
      </w:rPr>
    </w:pPr>
  </w:p>
  <w:p w14:paraId="2322AC0B" w14:textId="77777777" w:rsidR="00B07EE2" w:rsidRPr="000D253B" w:rsidRDefault="00B07EE2" w:rsidP="009B763A">
    <w:pPr>
      <w:rPr>
        <w:b/>
        <w:color w:val="000000" w:themeColor="text1"/>
      </w:rPr>
    </w:pPr>
    <w:r w:rsidRPr="000D253B">
      <w:rPr>
        <w:b/>
        <w:color w:val="000000" w:themeColor="text1"/>
      </w:rPr>
      <w:t>ПРИМІТКИ ДО ФІНАНСОВОЇ ЗВІТНОСТІ</w:t>
    </w:r>
  </w:p>
  <w:p w14:paraId="042EF3BF" w14:textId="00BE2217" w:rsidR="00B07EE2" w:rsidRDefault="00B07EE2" w:rsidP="009B763A">
    <w:pPr>
      <w:spacing w:before="60"/>
      <w:rPr>
        <w:b/>
        <w:color w:val="auto"/>
        <w:szCs w:val="20"/>
      </w:rPr>
    </w:pPr>
    <w:r w:rsidRPr="000D253B">
      <w:rPr>
        <w:b/>
        <w:color w:val="000000" w:themeColor="text1"/>
        <w:lang w:eastAsia="uk-UA"/>
      </w:rPr>
      <w:t xml:space="preserve">за рік, </w:t>
    </w:r>
    <w:r w:rsidR="00591313">
      <w:rPr>
        <w:b/>
        <w:lang w:eastAsia="uk-UA"/>
      </w:rPr>
      <w:t>що закінчився 31 грудня 2020</w:t>
    </w:r>
    <w:r w:rsidRPr="00FF72D6">
      <w:rPr>
        <w:b/>
        <w:lang w:eastAsia="uk-UA"/>
      </w:rPr>
      <w:t xml:space="preserve"> </w:t>
    </w:r>
    <w:r>
      <w:rPr>
        <w:b/>
        <w:lang w:eastAsia="uk-UA"/>
      </w:rPr>
      <w:t xml:space="preserve">року </w:t>
    </w:r>
    <w:r w:rsidRPr="00C76308">
      <w:rPr>
        <w:rFonts w:asciiTheme="minorHAnsi" w:hAnsiTheme="minorHAnsi" w:cstheme="minorHAnsi"/>
        <w:b/>
        <w:szCs w:val="20"/>
      </w:rPr>
      <w:t>(</w:t>
    </w:r>
    <w:r w:rsidRPr="00C76308">
      <w:rPr>
        <w:rFonts w:asciiTheme="minorHAnsi" w:hAnsiTheme="minorHAnsi" w:cstheme="minorHAnsi"/>
        <w:b/>
        <w:i/>
        <w:szCs w:val="20"/>
      </w:rPr>
      <w:t>у тисячах гривень</w:t>
    </w:r>
    <w:r w:rsidRPr="00C76308">
      <w:rPr>
        <w:rFonts w:asciiTheme="minorHAnsi" w:hAnsiTheme="minorHAnsi" w:cstheme="minorHAnsi"/>
        <w:b/>
        <w:szCs w:val="20"/>
      </w:rPr>
      <w:t>)</w:t>
    </w:r>
  </w:p>
  <w:p w14:paraId="14542B8A" w14:textId="77777777" w:rsidR="00B07EE2" w:rsidRDefault="00B07EE2" w:rsidP="00512CFA">
    <w:pPr>
      <w:pBdr>
        <w:bottom w:val="single" w:sz="4" w:space="1" w:color="auto"/>
      </w:pBdr>
      <w:rPr>
        <w:b/>
        <w:color w:val="auto"/>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FF4B7" w14:textId="401EABEB" w:rsidR="00B07EE2" w:rsidRDefault="009353F4">
    <w:pPr>
      <w:pStyle w:val="ad"/>
    </w:pPr>
    <w:r>
      <w:rPr>
        <w:noProof/>
      </w:rPr>
      <w:pict w14:anchorId="659BC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485.3pt;height:194.1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F1C8" w14:textId="5BED874F" w:rsidR="00B07EE2" w:rsidRDefault="009353F4">
    <w:pPr>
      <w:pStyle w:val="ad"/>
    </w:pPr>
    <w:r>
      <w:rPr>
        <w:noProof/>
      </w:rPr>
      <w:pict w14:anchorId="34C71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left:0;text-align:left;margin-left:0;margin-top:0;width:485.3pt;height:194.1pt;rotation:315;z-index:-2516183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6737" w14:textId="426CBA57" w:rsidR="00B07EE2" w:rsidRDefault="00B07EE2" w:rsidP="003267E9">
    <w:pPr>
      <w:pBdr>
        <w:bottom w:val="single" w:sz="4" w:space="8" w:color="auto"/>
      </w:pBdr>
      <w:jc w:val="center"/>
      <w:rPr>
        <w:b/>
        <w:caps/>
        <w:color w:val="auto"/>
        <w:szCs w:val="20"/>
      </w:rPr>
    </w:pPr>
  </w:p>
  <w:p w14:paraId="2B165E55" w14:textId="20756A4A" w:rsidR="00B07EE2" w:rsidRPr="004070A2" w:rsidRDefault="00B07EE2" w:rsidP="003267E9">
    <w:pPr>
      <w:pBdr>
        <w:bottom w:val="single" w:sz="4" w:space="8" w:color="auto"/>
      </w:pBdr>
      <w:jc w:val="center"/>
      <w:rPr>
        <w:lang w:val="ru-RU"/>
      </w:rPr>
    </w:pPr>
    <w:r w:rsidRPr="00483BA3">
      <w:rPr>
        <w:b/>
        <w:caps/>
        <w:color w:val="auto"/>
        <w:szCs w:val="20"/>
      </w:rPr>
      <w:t>акціонерне товариство «</w:t>
    </w:r>
    <w:r>
      <w:rPr>
        <w:b/>
        <w:caps/>
        <w:color w:val="auto"/>
        <w:szCs w:val="20"/>
        <w:lang w:val="ru-RU"/>
      </w:rPr>
      <w:t>галичфарм</w:t>
    </w:r>
    <w:r w:rsidRPr="00483BA3">
      <w:rPr>
        <w:b/>
        <w:caps/>
        <w:color w:val="auto"/>
        <w:szCs w:val="20"/>
      </w:rPr>
      <w:t>»</w:t>
    </w:r>
  </w:p>
  <w:p w14:paraId="325F0D50" w14:textId="77777777" w:rsidR="00B07EE2" w:rsidRPr="000D253B" w:rsidRDefault="00B07EE2" w:rsidP="009B763A">
    <w:pPr>
      <w:rPr>
        <w:b/>
        <w:color w:val="000000" w:themeColor="text1"/>
        <w:lang w:val="ru-RU"/>
      </w:rPr>
    </w:pPr>
  </w:p>
  <w:p w14:paraId="038E8B8F" w14:textId="77777777" w:rsidR="00B07EE2" w:rsidRPr="000D253B" w:rsidRDefault="00B07EE2" w:rsidP="009B763A">
    <w:pPr>
      <w:rPr>
        <w:b/>
        <w:color w:val="000000" w:themeColor="text1"/>
      </w:rPr>
    </w:pPr>
    <w:r w:rsidRPr="000D253B">
      <w:rPr>
        <w:b/>
        <w:color w:val="000000" w:themeColor="text1"/>
      </w:rPr>
      <w:t>ПРИМІТКИ ДО ФІНАНСОВОЇ ЗВІТНОСТІ</w:t>
    </w:r>
  </w:p>
  <w:p w14:paraId="0E8CAA18" w14:textId="5CF2DAA0" w:rsidR="00B07EE2" w:rsidRDefault="00B07EE2" w:rsidP="009B763A">
    <w:pPr>
      <w:spacing w:before="60"/>
      <w:rPr>
        <w:b/>
        <w:color w:val="auto"/>
        <w:szCs w:val="20"/>
      </w:rPr>
    </w:pPr>
    <w:r w:rsidRPr="000D253B">
      <w:rPr>
        <w:b/>
        <w:color w:val="000000" w:themeColor="text1"/>
        <w:lang w:eastAsia="uk-UA"/>
      </w:rPr>
      <w:t xml:space="preserve">за рік, </w:t>
    </w:r>
    <w:r>
      <w:rPr>
        <w:b/>
        <w:lang w:eastAsia="uk-UA"/>
      </w:rPr>
      <w:t>що закінчився 31 грудня 2020</w:t>
    </w:r>
    <w:r w:rsidRPr="00FF72D6">
      <w:rPr>
        <w:b/>
        <w:lang w:eastAsia="uk-UA"/>
      </w:rPr>
      <w:t xml:space="preserve"> </w:t>
    </w:r>
    <w:r>
      <w:rPr>
        <w:b/>
        <w:lang w:eastAsia="uk-UA"/>
      </w:rPr>
      <w:t xml:space="preserve">року </w:t>
    </w:r>
    <w:r w:rsidRPr="00C76308">
      <w:rPr>
        <w:rFonts w:asciiTheme="minorHAnsi" w:hAnsiTheme="minorHAnsi" w:cstheme="minorHAnsi"/>
        <w:b/>
        <w:szCs w:val="20"/>
      </w:rPr>
      <w:t>(</w:t>
    </w:r>
    <w:r w:rsidRPr="00C76308">
      <w:rPr>
        <w:rFonts w:asciiTheme="minorHAnsi" w:hAnsiTheme="minorHAnsi" w:cstheme="minorHAnsi"/>
        <w:b/>
        <w:i/>
        <w:szCs w:val="20"/>
      </w:rPr>
      <w:t>у тисячах гривень</w:t>
    </w:r>
    <w:r w:rsidRPr="00C76308">
      <w:rPr>
        <w:rFonts w:asciiTheme="minorHAnsi" w:hAnsiTheme="minorHAnsi" w:cstheme="minorHAnsi"/>
        <w:b/>
        <w:szCs w:val="20"/>
      </w:rPr>
      <w:t>)</w:t>
    </w:r>
  </w:p>
  <w:p w14:paraId="339DE571" w14:textId="77777777" w:rsidR="00B07EE2" w:rsidRDefault="00B07EE2" w:rsidP="003267E9">
    <w:pPr>
      <w:pBdr>
        <w:bottom w:val="single" w:sz="4" w:space="1" w:color="auto"/>
      </w:pBdr>
      <w:rPr>
        <w:b/>
        <w:color w:val="auto"/>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DF6FB" w14:textId="6B2740CA" w:rsidR="00B07EE2" w:rsidRDefault="009353F4">
    <w:pPr>
      <w:pStyle w:val="ad"/>
    </w:pPr>
    <w:r>
      <w:rPr>
        <w:noProof/>
      </w:rPr>
      <w:pict w14:anchorId="3D162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485.3pt;height:194.1pt;rotation:315;z-index:-2516203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939"/>
    <w:multiLevelType w:val="hybridMultilevel"/>
    <w:tmpl w:val="C2FA9734"/>
    <w:lvl w:ilvl="0" w:tplc="871E04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076A6"/>
    <w:multiLevelType w:val="hybridMultilevel"/>
    <w:tmpl w:val="E3467290"/>
    <w:lvl w:ilvl="0" w:tplc="F6B8BBEC">
      <w:start w:val="44"/>
      <w:numFmt w:val="bullet"/>
      <w:lvlText w:val="-"/>
      <w:lvlJc w:val="left"/>
      <w:pPr>
        <w:tabs>
          <w:tab w:val="num" w:pos="720"/>
        </w:tabs>
        <w:ind w:left="720" w:hanging="360"/>
      </w:pPr>
      <w:rPr>
        <w:rFonts w:ascii="Arial" w:eastAsia="Calibri"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4E81"/>
    <w:multiLevelType w:val="hybridMultilevel"/>
    <w:tmpl w:val="DAB01FB6"/>
    <w:lvl w:ilvl="0" w:tplc="6DF00D3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4364BF"/>
    <w:multiLevelType w:val="hybridMultilevel"/>
    <w:tmpl w:val="90544FE6"/>
    <w:lvl w:ilvl="0" w:tplc="7974DFB6">
      <w:start w:val="1"/>
      <w:numFmt w:val="bullet"/>
      <w:lvlText w:val="–"/>
      <w:lvlJc w:val="left"/>
      <w:pPr>
        <w:tabs>
          <w:tab w:val="num" w:pos="284"/>
        </w:tabs>
        <w:ind w:left="284" w:hanging="284"/>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D2FB9"/>
    <w:multiLevelType w:val="hybridMultilevel"/>
    <w:tmpl w:val="0616B2F2"/>
    <w:lvl w:ilvl="0" w:tplc="886AF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75DB5"/>
    <w:multiLevelType w:val="hybridMultilevel"/>
    <w:tmpl w:val="57F6F61E"/>
    <w:lvl w:ilvl="0" w:tplc="57745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DD2731D"/>
    <w:multiLevelType w:val="hybridMultilevel"/>
    <w:tmpl w:val="E63ABF3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E550A3A"/>
    <w:multiLevelType w:val="hybridMultilevel"/>
    <w:tmpl w:val="0F2A22F2"/>
    <w:lvl w:ilvl="0" w:tplc="57745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906445"/>
    <w:multiLevelType w:val="multilevel"/>
    <w:tmpl w:val="2F260D68"/>
    <w:lvl w:ilvl="0">
      <w:start w:val="1"/>
      <w:numFmt w:val="decimal"/>
      <w:pStyle w:val="1"/>
      <w:lvlText w:val="%1."/>
      <w:lvlJc w:val="left"/>
      <w:pPr>
        <w:ind w:left="360" w:hanging="360"/>
      </w:pPr>
      <w:rPr>
        <w:rFonts w:ascii="Arial" w:hAnsi="Arial" w:hint="default"/>
        <w:b/>
        <w:i w:val="0"/>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F02896"/>
    <w:multiLevelType w:val="hybridMultilevel"/>
    <w:tmpl w:val="55E6B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AC7493"/>
    <w:multiLevelType w:val="hybridMultilevel"/>
    <w:tmpl w:val="EEF61AC0"/>
    <w:lvl w:ilvl="0" w:tplc="6888B83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0948AB"/>
    <w:multiLevelType w:val="hybridMultilevel"/>
    <w:tmpl w:val="02224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64DDA"/>
    <w:multiLevelType w:val="hybridMultilevel"/>
    <w:tmpl w:val="C3447BB0"/>
    <w:lvl w:ilvl="0" w:tplc="886AF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6E373F"/>
    <w:multiLevelType w:val="hybridMultilevel"/>
    <w:tmpl w:val="35D47752"/>
    <w:lvl w:ilvl="0" w:tplc="F6B8BBEC">
      <w:start w:val="44"/>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907E4E"/>
    <w:multiLevelType w:val="hybridMultilevel"/>
    <w:tmpl w:val="AC32A460"/>
    <w:lvl w:ilvl="0" w:tplc="7974DFB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DEF6609"/>
    <w:multiLevelType w:val="hybridMultilevel"/>
    <w:tmpl w:val="809A1E7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1B63F5"/>
    <w:multiLevelType w:val="hybridMultilevel"/>
    <w:tmpl w:val="15721DCA"/>
    <w:lvl w:ilvl="0" w:tplc="85EAE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D402A4"/>
    <w:multiLevelType w:val="hybridMultilevel"/>
    <w:tmpl w:val="E8102A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7A6081C"/>
    <w:multiLevelType w:val="hybridMultilevel"/>
    <w:tmpl w:val="0CF67ED8"/>
    <w:lvl w:ilvl="0" w:tplc="BBA42320">
      <w:start w:val="1"/>
      <w:numFmt w:val="lowerLetter"/>
      <w:lvlText w:val="(%1)"/>
      <w:lvlJc w:val="left"/>
      <w:pPr>
        <w:ind w:left="720" w:hanging="360"/>
      </w:pPr>
      <w:rPr>
        <w:rFonts w:hint="default"/>
      </w:rPr>
    </w:lvl>
    <w:lvl w:ilvl="1" w:tplc="BFD866DE">
      <w:start w:val="1"/>
      <w:numFmt w:val="lowerLetter"/>
      <w:lvlText w:val="%2."/>
      <w:lvlJc w:val="left"/>
      <w:pPr>
        <w:ind w:left="1440" w:hanging="360"/>
      </w:pPr>
      <w:rPr>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17095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9BD25EC"/>
    <w:multiLevelType w:val="hybridMultilevel"/>
    <w:tmpl w:val="CB46BDEA"/>
    <w:lvl w:ilvl="0" w:tplc="04190001">
      <w:start w:val="1"/>
      <w:numFmt w:val="bullet"/>
      <w:lvlText w:val=""/>
      <w:lvlJc w:val="left"/>
      <w:pPr>
        <w:ind w:left="1429" w:hanging="360"/>
      </w:pPr>
      <w:rPr>
        <w:rFonts w:ascii="Symbol" w:hAnsi="Symbol" w:hint="default"/>
      </w:rPr>
    </w:lvl>
    <w:lvl w:ilvl="1" w:tplc="36BA01F4">
      <w:numFmt w:val="bullet"/>
      <w:lvlText w:val="•"/>
      <w:lvlJc w:val="left"/>
      <w:pPr>
        <w:ind w:left="2149" w:hanging="360"/>
      </w:pPr>
      <w:rPr>
        <w:rFonts w:ascii="Arial" w:eastAsiaTheme="minorHAnsi" w:hAnsi="Arial" w:cs="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6E39A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EEA30C1"/>
    <w:multiLevelType w:val="hybridMultilevel"/>
    <w:tmpl w:val="401A84EC"/>
    <w:lvl w:ilvl="0" w:tplc="F09EA1E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16754A"/>
    <w:multiLevelType w:val="hybridMultilevel"/>
    <w:tmpl w:val="F2149CFC"/>
    <w:lvl w:ilvl="0" w:tplc="57745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3AE7F37"/>
    <w:multiLevelType w:val="hybridMultilevel"/>
    <w:tmpl w:val="84CACF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B31300"/>
    <w:multiLevelType w:val="hybridMultilevel"/>
    <w:tmpl w:val="1B562D82"/>
    <w:lvl w:ilvl="0" w:tplc="57745DCE">
      <w:start w:val="1"/>
      <w:numFmt w:val="bullet"/>
      <w:lvlText w:val=""/>
      <w:lvlJc w:val="left"/>
      <w:pPr>
        <w:ind w:left="360" w:hanging="360"/>
      </w:pPr>
      <w:rPr>
        <w:rFonts w:ascii="Symbol" w:hAnsi="Symbol" w:hint="default"/>
        <w:color w:val="000000" w:themeColor="text1"/>
        <w:sz w:val="20"/>
        <w:szCs w:val="20"/>
      </w:rPr>
    </w:lvl>
    <w:lvl w:ilvl="1" w:tplc="57745DCE">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5557541"/>
    <w:multiLevelType w:val="hybridMultilevel"/>
    <w:tmpl w:val="FD4E2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5C150B"/>
    <w:multiLevelType w:val="hybridMultilevel"/>
    <w:tmpl w:val="B50AC738"/>
    <w:lvl w:ilvl="0" w:tplc="871E04CC">
      <w:numFmt w:val="bullet"/>
      <w:lvlText w:val="-"/>
      <w:lvlJc w:val="left"/>
      <w:pPr>
        <w:ind w:left="377" w:hanging="360"/>
      </w:pPr>
      <w:rPr>
        <w:rFonts w:ascii="Arial" w:eastAsia="Calibri" w:hAnsi="Arial" w:cs="Arial" w:hint="default"/>
      </w:rPr>
    </w:lvl>
    <w:lvl w:ilvl="1" w:tplc="04190003" w:tentative="1">
      <w:start w:val="1"/>
      <w:numFmt w:val="bullet"/>
      <w:lvlText w:val="o"/>
      <w:lvlJc w:val="left"/>
      <w:pPr>
        <w:ind w:left="1097" w:hanging="360"/>
      </w:pPr>
      <w:rPr>
        <w:rFonts w:ascii="Courier New" w:hAnsi="Courier New" w:cs="Courier New" w:hint="default"/>
      </w:rPr>
    </w:lvl>
    <w:lvl w:ilvl="2" w:tplc="04190005" w:tentative="1">
      <w:start w:val="1"/>
      <w:numFmt w:val="bullet"/>
      <w:lvlText w:val=""/>
      <w:lvlJc w:val="left"/>
      <w:pPr>
        <w:ind w:left="1817" w:hanging="360"/>
      </w:pPr>
      <w:rPr>
        <w:rFonts w:ascii="Wingdings" w:hAnsi="Wingdings" w:hint="default"/>
      </w:rPr>
    </w:lvl>
    <w:lvl w:ilvl="3" w:tplc="04190001" w:tentative="1">
      <w:start w:val="1"/>
      <w:numFmt w:val="bullet"/>
      <w:lvlText w:val=""/>
      <w:lvlJc w:val="left"/>
      <w:pPr>
        <w:ind w:left="2537" w:hanging="360"/>
      </w:pPr>
      <w:rPr>
        <w:rFonts w:ascii="Symbol" w:hAnsi="Symbol" w:hint="default"/>
      </w:rPr>
    </w:lvl>
    <w:lvl w:ilvl="4" w:tplc="04190003" w:tentative="1">
      <w:start w:val="1"/>
      <w:numFmt w:val="bullet"/>
      <w:lvlText w:val="o"/>
      <w:lvlJc w:val="left"/>
      <w:pPr>
        <w:ind w:left="3257" w:hanging="360"/>
      </w:pPr>
      <w:rPr>
        <w:rFonts w:ascii="Courier New" w:hAnsi="Courier New" w:cs="Courier New" w:hint="default"/>
      </w:rPr>
    </w:lvl>
    <w:lvl w:ilvl="5" w:tplc="04190005" w:tentative="1">
      <w:start w:val="1"/>
      <w:numFmt w:val="bullet"/>
      <w:lvlText w:val=""/>
      <w:lvlJc w:val="left"/>
      <w:pPr>
        <w:ind w:left="3977" w:hanging="360"/>
      </w:pPr>
      <w:rPr>
        <w:rFonts w:ascii="Wingdings" w:hAnsi="Wingdings" w:hint="default"/>
      </w:rPr>
    </w:lvl>
    <w:lvl w:ilvl="6" w:tplc="04190001" w:tentative="1">
      <w:start w:val="1"/>
      <w:numFmt w:val="bullet"/>
      <w:lvlText w:val=""/>
      <w:lvlJc w:val="left"/>
      <w:pPr>
        <w:ind w:left="4697" w:hanging="360"/>
      </w:pPr>
      <w:rPr>
        <w:rFonts w:ascii="Symbol" w:hAnsi="Symbol" w:hint="default"/>
      </w:rPr>
    </w:lvl>
    <w:lvl w:ilvl="7" w:tplc="04190003" w:tentative="1">
      <w:start w:val="1"/>
      <w:numFmt w:val="bullet"/>
      <w:lvlText w:val="o"/>
      <w:lvlJc w:val="left"/>
      <w:pPr>
        <w:ind w:left="5417" w:hanging="360"/>
      </w:pPr>
      <w:rPr>
        <w:rFonts w:ascii="Courier New" w:hAnsi="Courier New" w:cs="Courier New" w:hint="default"/>
      </w:rPr>
    </w:lvl>
    <w:lvl w:ilvl="8" w:tplc="04190005" w:tentative="1">
      <w:start w:val="1"/>
      <w:numFmt w:val="bullet"/>
      <w:lvlText w:val=""/>
      <w:lvlJc w:val="left"/>
      <w:pPr>
        <w:ind w:left="6137" w:hanging="360"/>
      </w:pPr>
      <w:rPr>
        <w:rFonts w:ascii="Wingdings" w:hAnsi="Wingdings" w:hint="default"/>
      </w:rPr>
    </w:lvl>
  </w:abstractNum>
  <w:abstractNum w:abstractNumId="28" w15:restartNumberingAfterBreak="0">
    <w:nsid w:val="5B9B23A3"/>
    <w:multiLevelType w:val="hybridMultilevel"/>
    <w:tmpl w:val="D56C2700"/>
    <w:lvl w:ilvl="0" w:tplc="886AF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AB4AB8"/>
    <w:multiLevelType w:val="hybridMultilevel"/>
    <w:tmpl w:val="55A86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C221B6"/>
    <w:multiLevelType w:val="hybridMultilevel"/>
    <w:tmpl w:val="FEB0500C"/>
    <w:lvl w:ilvl="0" w:tplc="57745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C3D2822"/>
    <w:multiLevelType w:val="hybridMultilevel"/>
    <w:tmpl w:val="939422B4"/>
    <w:lvl w:ilvl="0" w:tplc="57745DCE">
      <w:start w:val="1"/>
      <w:numFmt w:val="bullet"/>
      <w:lvlText w:val=""/>
      <w:lvlJc w:val="left"/>
      <w:pPr>
        <w:ind w:left="360" w:hanging="360"/>
      </w:pPr>
      <w:rPr>
        <w:rFonts w:ascii="Symbol" w:hAnsi="Symbol" w:hint="default"/>
      </w:rPr>
    </w:lvl>
    <w:lvl w:ilvl="1" w:tplc="57745DCE">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2A318E9"/>
    <w:multiLevelType w:val="hybridMultilevel"/>
    <w:tmpl w:val="B316D2FC"/>
    <w:lvl w:ilvl="0" w:tplc="10747666">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74EA7752"/>
    <w:multiLevelType w:val="hybridMultilevel"/>
    <w:tmpl w:val="A2E0037A"/>
    <w:lvl w:ilvl="0" w:tplc="57745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7233EDC"/>
    <w:multiLevelType w:val="hybridMultilevel"/>
    <w:tmpl w:val="68B2F228"/>
    <w:lvl w:ilvl="0" w:tplc="57745D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80D6A2C"/>
    <w:multiLevelType w:val="hybridMultilevel"/>
    <w:tmpl w:val="ED8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5"/>
  </w:num>
  <w:num w:numId="7">
    <w:abstractNumId w:val="23"/>
  </w:num>
  <w:num w:numId="8">
    <w:abstractNumId w:val="33"/>
  </w:num>
  <w:num w:numId="9">
    <w:abstractNumId w:val="30"/>
  </w:num>
  <w:num w:numId="10">
    <w:abstractNumId w:val="7"/>
  </w:num>
  <w:num w:numId="11">
    <w:abstractNumId w:val="25"/>
  </w:num>
  <w:num w:numId="12">
    <w:abstractNumId w:val="31"/>
  </w:num>
  <w:num w:numId="13">
    <w:abstractNumId w:val="26"/>
  </w:num>
  <w:num w:numId="14">
    <w:abstractNumId w:val="35"/>
  </w:num>
  <w:num w:numId="15">
    <w:abstractNumId w:val="20"/>
  </w:num>
  <w:num w:numId="16">
    <w:abstractNumId w:val="15"/>
  </w:num>
  <w:num w:numId="17">
    <w:abstractNumId w:val="6"/>
  </w:num>
  <w:num w:numId="18">
    <w:abstractNumId w:val="29"/>
  </w:num>
  <w:num w:numId="19">
    <w:abstractNumId w:val="34"/>
  </w:num>
  <w:num w:numId="20">
    <w:abstractNumId w:val="8"/>
  </w:num>
  <w:num w:numId="21">
    <w:abstractNumId w:val="27"/>
  </w:num>
  <w:num w:numId="22">
    <w:abstractNumId w:val="1"/>
  </w:num>
  <w:num w:numId="23">
    <w:abstractNumId w:val="18"/>
  </w:num>
  <w:num w:numId="24">
    <w:abstractNumId w:val="9"/>
  </w:num>
  <w:num w:numId="25">
    <w:abstractNumId w:val="3"/>
  </w:num>
  <w:num w:numId="26">
    <w:abstractNumId w:val="14"/>
  </w:num>
  <w:num w:numId="27">
    <w:abstractNumId w:val="10"/>
  </w:num>
  <w:num w:numId="28">
    <w:abstractNumId w:val="22"/>
  </w:num>
  <w:num w:numId="29">
    <w:abstractNumId w:val="8"/>
  </w:num>
  <w:num w:numId="30">
    <w:abstractNumId w:val="8"/>
  </w:num>
  <w:num w:numId="31">
    <w:abstractNumId w:val="8"/>
  </w:num>
  <w:num w:numId="32">
    <w:abstractNumId w:val="8"/>
  </w:num>
  <w:num w:numId="33">
    <w:abstractNumId w:val="21"/>
  </w:num>
  <w:num w:numId="34">
    <w:abstractNumId w:val="19"/>
  </w:num>
  <w:num w:numId="35">
    <w:abstractNumId w:val="11"/>
  </w:num>
  <w:num w:numId="36">
    <w:abstractNumId w:val="0"/>
  </w:num>
  <w:num w:numId="37">
    <w:abstractNumId w:val="16"/>
  </w:num>
  <w:num w:numId="38">
    <w:abstractNumId w:val="32"/>
  </w:num>
  <w:num w:numId="39">
    <w:abstractNumId w:val="13"/>
  </w:num>
  <w:num w:numId="40">
    <w:abstractNumId w:val="24"/>
  </w:num>
  <w:num w:numId="41">
    <w:abstractNumId w:val="2"/>
  </w:num>
  <w:num w:numId="42">
    <w:abstractNumId w:val="12"/>
  </w:num>
  <w:num w:numId="4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displayVertic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A1"/>
    <w:rsid w:val="00000107"/>
    <w:rsid w:val="00000A04"/>
    <w:rsid w:val="00000E7D"/>
    <w:rsid w:val="00001163"/>
    <w:rsid w:val="000015E7"/>
    <w:rsid w:val="000029FC"/>
    <w:rsid w:val="00002AE3"/>
    <w:rsid w:val="00002B10"/>
    <w:rsid w:val="00002C93"/>
    <w:rsid w:val="00002F0F"/>
    <w:rsid w:val="00003A29"/>
    <w:rsid w:val="00004360"/>
    <w:rsid w:val="0000514E"/>
    <w:rsid w:val="00005617"/>
    <w:rsid w:val="00005B5B"/>
    <w:rsid w:val="00006676"/>
    <w:rsid w:val="00006911"/>
    <w:rsid w:val="000072B3"/>
    <w:rsid w:val="00007BD4"/>
    <w:rsid w:val="0001014E"/>
    <w:rsid w:val="00010BC6"/>
    <w:rsid w:val="00012845"/>
    <w:rsid w:val="00012B3A"/>
    <w:rsid w:val="00012E44"/>
    <w:rsid w:val="00013B42"/>
    <w:rsid w:val="00013D09"/>
    <w:rsid w:val="00013D74"/>
    <w:rsid w:val="00014137"/>
    <w:rsid w:val="00016DE7"/>
    <w:rsid w:val="00020305"/>
    <w:rsid w:val="000207DB"/>
    <w:rsid w:val="00020AD2"/>
    <w:rsid w:val="00020F5D"/>
    <w:rsid w:val="000211E6"/>
    <w:rsid w:val="000213F7"/>
    <w:rsid w:val="000219C3"/>
    <w:rsid w:val="00021B0A"/>
    <w:rsid w:val="00021DF3"/>
    <w:rsid w:val="000228CB"/>
    <w:rsid w:val="00025618"/>
    <w:rsid w:val="00026917"/>
    <w:rsid w:val="00026F35"/>
    <w:rsid w:val="00027FED"/>
    <w:rsid w:val="0003015D"/>
    <w:rsid w:val="000304DF"/>
    <w:rsid w:val="00032C83"/>
    <w:rsid w:val="00032CFA"/>
    <w:rsid w:val="00033993"/>
    <w:rsid w:val="00033D47"/>
    <w:rsid w:val="00034320"/>
    <w:rsid w:val="000353D2"/>
    <w:rsid w:val="00035736"/>
    <w:rsid w:val="00035923"/>
    <w:rsid w:val="00035E74"/>
    <w:rsid w:val="000400A9"/>
    <w:rsid w:val="000402D8"/>
    <w:rsid w:val="00040330"/>
    <w:rsid w:val="00041D7C"/>
    <w:rsid w:val="0004211A"/>
    <w:rsid w:val="0004247F"/>
    <w:rsid w:val="00042E7D"/>
    <w:rsid w:val="00043179"/>
    <w:rsid w:val="00043A6C"/>
    <w:rsid w:val="00043C5F"/>
    <w:rsid w:val="0004429C"/>
    <w:rsid w:val="000442BC"/>
    <w:rsid w:val="00044ACC"/>
    <w:rsid w:val="00044D45"/>
    <w:rsid w:val="00045109"/>
    <w:rsid w:val="0004529B"/>
    <w:rsid w:val="00045AF5"/>
    <w:rsid w:val="00045E70"/>
    <w:rsid w:val="000460E4"/>
    <w:rsid w:val="000463C7"/>
    <w:rsid w:val="00046998"/>
    <w:rsid w:val="00046E9F"/>
    <w:rsid w:val="000473DE"/>
    <w:rsid w:val="000475DE"/>
    <w:rsid w:val="00047E74"/>
    <w:rsid w:val="0005097D"/>
    <w:rsid w:val="00050F5F"/>
    <w:rsid w:val="0005138A"/>
    <w:rsid w:val="0005184A"/>
    <w:rsid w:val="00051D19"/>
    <w:rsid w:val="000527BA"/>
    <w:rsid w:val="00052876"/>
    <w:rsid w:val="00052DC9"/>
    <w:rsid w:val="00053C2D"/>
    <w:rsid w:val="00053DCA"/>
    <w:rsid w:val="0005466B"/>
    <w:rsid w:val="0005473D"/>
    <w:rsid w:val="00054DB1"/>
    <w:rsid w:val="00055550"/>
    <w:rsid w:val="0005575C"/>
    <w:rsid w:val="0005605E"/>
    <w:rsid w:val="00056318"/>
    <w:rsid w:val="00056F2E"/>
    <w:rsid w:val="000571FF"/>
    <w:rsid w:val="00057853"/>
    <w:rsid w:val="00057CC4"/>
    <w:rsid w:val="00057F7C"/>
    <w:rsid w:val="00061732"/>
    <w:rsid w:val="00061BD1"/>
    <w:rsid w:val="00062E4F"/>
    <w:rsid w:val="0006304C"/>
    <w:rsid w:val="00063800"/>
    <w:rsid w:val="00063F56"/>
    <w:rsid w:val="0006460B"/>
    <w:rsid w:val="00064823"/>
    <w:rsid w:val="00064845"/>
    <w:rsid w:val="00064D9A"/>
    <w:rsid w:val="000654BE"/>
    <w:rsid w:val="00065ADF"/>
    <w:rsid w:val="00065F21"/>
    <w:rsid w:val="000660CB"/>
    <w:rsid w:val="00066188"/>
    <w:rsid w:val="00066471"/>
    <w:rsid w:val="00066958"/>
    <w:rsid w:val="00067488"/>
    <w:rsid w:val="00067609"/>
    <w:rsid w:val="00067E47"/>
    <w:rsid w:val="00067EC4"/>
    <w:rsid w:val="00071498"/>
    <w:rsid w:val="00071862"/>
    <w:rsid w:val="00071AE9"/>
    <w:rsid w:val="00071C1B"/>
    <w:rsid w:val="0007269D"/>
    <w:rsid w:val="00072FA8"/>
    <w:rsid w:val="00073F7D"/>
    <w:rsid w:val="0007443F"/>
    <w:rsid w:val="000744A4"/>
    <w:rsid w:val="00074ECC"/>
    <w:rsid w:val="000755A0"/>
    <w:rsid w:val="00076A45"/>
    <w:rsid w:val="00077566"/>
    <w:rsid w:val="000775B6"/>
    <w:rsid w:val="00080579"/>
    <w:rsid w:val="00080DC9"/>
    <w:rsid w:val="00080DD1"/>
    <w:rsid w:val="00080E70"/>
    <w:rsid w:val="000810FD"/>
    <w:rsid w:val="0008197D"/>
    <w:rsid w:val="0008224B"/>
    <w:rsid w:val="000826D5"/>
    <w:rsid w:val="00082D50"/>
    <w:rsid w:val="00082DEA"/>
    <w:rsid w:val="00083110"/>
    <w:rsid w:val="000843EC"/>
    <w:rsid w:val="00084406"/>
    <w:rsid w:val="000845CE"/>
    <w:rsid w:val="000845CF"/>
    <w:rsid w:val="0008498F"/>
    <w:rsid w:val="00084B74"/>
    <w:rsid w:val="00085197"/>
    <w:rsid w:val="00085305"/>
    <w:rsid w:val="0008558C"/>
    <w:rsid w:val="000859EC"/>
    <w:rsid w:val="00086B87"/>
    <w:rsid w:val="000870FF"/>
    <w:rsid w:val="00087990"/>
    <w:rsid w:val="00087D82"/>
    <w:rsid w:val="000902CD"/>
    <w:rsid w:val="00090DFB"/>
    <w:rsid w:val="00091712"/>
    <w:rsid w:val="000919E1"/>
    <w:rsid w:val="00091DC4"/>
    <w:rsid w:val="000932A3"/>
    <w:rsid w:val="000945DB"/>
    <w:rsid w:val="00094BCE"/>
    <w:rsid w:val="00095240"/>
    <w:rsid w:val="0009525E"/>
    <w:rsid w:val="00095427"/>
    <w:rsid w:val="000958A4"/>
    <w:rsid w:val="000962D7"/>
    <w:rsid w:val="00096936"/>
    <w:rsid w:val="000A01C2"/>
    <w:rsid w:val="000A03C0"/>
    <w:rsid w:val="000A20B2"/>
    <w:rsid w:val="000A20CA"/>
    <w:rsid w:val="000A2406"/>
    <w:rsid w:val="000A298F"/>
    <w:rsid w:val="000A2D1B"/>
    <w:rsid w:val="000A2F6A"/>
    <w:rsid w:val="000A2FFB"/>
    <w:rsid w:val="000A35B4"/>
    <w:rsid w:val="000A3DA5"/>
    <w:rsid w:val="000A3EB6"/>
    <w:rsid w:val="000A41E5"/>
    <w:rsid w:val="000A4DDC"/>
    <w:rsid w:val="000A6167"/>
    <w:rsid w:val="000A6D52"/>
    <w:rsid w:val="000B0DAA"/>
    <w:rsid w:val="000B1084"/>
    <w:rsid w:val="000B111A"/>
    <w:rsid w:val="000B1236"/>
    <w:rsid w:val="000B1B1E"/>
    <w:rsid w:val="000B1B6E"/>
    <w:rsid w:val="000B23E7"/>
    <w:rsid w:val="000B2555"/>
    <w:rsid w:val="000B285E"/>
    <w:rsid w:val="000B299A"/>
    <w:rsid w:val="000B34E3"/>
    <w:rsid w:val="000B4573"/>
    <w:rsid w:val="000B5480"/>
    <w:rsid w:val="000B569A"/>
    <w:rsid w:val="000B5A3B"/>
    <w:rsid w:val="000B5C76"/>
    <w:rsid w:val="000B5FDD"/>
    <w:rsid w:val="000B68C2"/>
    <w:rsid w:val="000B6FE5"/>
    <w:rsid w:val="000B74D8"/>
    <w:rsid w:val="000B7795"/>
    <w:rsid w:val="000C0587"/>
    <w:rsid w:val="000C1978"/>
    <w:rsid w:val="000C24AF"/>
    <w:rsid w:val="000C2A4B"/>
    <w:rsid w:val="000C3541"/>
    <w:rsid w:val="000C377A"/>
    <w:rsid w:val="000C3DC4"/>
    <w:rsid w:val="000C40F3"/>
    <w:rsid w:val="000C43C2"/>
    <w:rsid w:val="000C45DB"/>
    <w:rsid w:val="000C553F"/>
    <w:rsid w:val="000C5F9D"/>
    <w:rsid w:val="000C5FC6"/>
    <w:rsid w:val="000C634B"/>
    <w:rsid w:val="000C6383"/>
    <w:rsid w:val="000C662C"/>
    <w:rsid w:val="000C7019"/>
    <w:rsid w:val="000C76CA"/>
    <w:rsid w:val="000D04B8"/>
    <w:rsid w:val="000D095D"/>
    <w:rsid w:val="000D0AA5"/>
    <w:rsid w:val="000D0FEA"/>
    <w:rsid w:val="000D103C"/>
    <w:rsid w:val="000D15C1"/>
    <w:rsid w:val="000D16FF"/>
    <w:rsid w:val="000D1C0A"/>
    <w:rsid w:val="000D1DC2"/>
    <w:rsid w:val="000D1F41"/>
    <w:rsid w:val="000D200A"/>
    <w:rsid w:val="000D253B"/>
    <w:rsid w:val="000D28A4"/>
    <w:rsid w:val="000D2F36"/>
    <w:rsid w:val="000D4228"/>
    <w:rsid w:val="000D4BE9"/>
    <w:rsid w:val="000D68E9"/>
    <w:rsid w:val="000D6B7A"/>
    <w:rsid w:val="000D7775"/>
    <w:rsid w:val="000E0BD5"/>
    <w:rsid w:val="000E17BE"/>
    <w:rsid w:val="000E20BD"/>
    <w:rsid w:val="000E296F"/>
    <w:rsid w:val="000E33C2"/>
    <w:rsid w:val="000E40DA"/>
    <w:rsid w:val="000E5F00"/>
    <w:rsid w:val="000E6F60"/>
    <w:rsid w:val="000E6FA8"/>
    <w:rsid w:val="000E7483"/>
    <w:rsid w:val="000E7A90"/>
    <w:rsid w:val="000E7C8C"/>
    <w:rsid w:val="000F0A4C"/>
    <w:rsid w:val="000F0EE6"/>
    <w:rsid w:val="000F0FB0"/>
    <w:rsid w:val="000F2350"/>
    <w:rsid w:val="000F28EB"/>
    <w:rsid w:val="000F325A"/>
    <w:rsid w:val="000F3953"/>
    <w:rsid w:val="000F3A22"/>
    <w:rsid w:val="000F401C"/>
    <w:rsid w:val="000F44FF"/>
    <w:rsid w:val="000F46CA"/>
    <w:rsid w:val="000F46D1"/>
    <w:rsid w:val="000F51E0"/>
    <w:rsid w:val="000F5EF7"/>
    <w:rsid w:val="000F6513"/>
    <w:rsid w:val="000F66F8"/>
    <w:rsid w:val="000F6D4B"/>
    <w:rsid w:val="000F72B4"/>
    <w:rsid w:val="000F74CF"/>
    <w:rsid w:val="000F7634"/>
    <w:rsid w:val="000F7B1F"/>
    <w:rsid w:val="00100206"/>
    <w:rsid w:val="00100E95"/>
    <w:rsid w:val="001014FD"/>
    <w:rsid w:val="0010196F"/>
    <w:rsid w:val="001022BA"/>
    <w:rsid w:val="001024C8"/>
    <w:rsid w:val="001027BC"/>
    <w:rsid w:val="00104002"/>
    <w:rsid w:val="00104582"/>
    <w:rsid w:val="00104D14"/>
    <w:rsid w:val="001054F0"/>
    <w:rsid w:val="00105B9A"/>
    <w:rsid w:val="00105BE8"/>
    <w:rsid w:val="00105C0F"/>
    <w:rsid w:val="00105D07"/>
    <w:rsid w:val="0010695D"/>
    <w:rsid w:val="00106D5F"/>
    <w:rsid w:val="00106EE3"/>
    <w:rsid w:val="00107DB5"/>
    <w:rsid w:val="00110145"/>
    <w:rsid w:val="00111B69"/>
    <w:rsid w:val="00111CBB"/>
    <w:rsid w:val="00113D45"/>
    <w:rsid w:val="00113DAA"/>
    <w:rsid w:val="00115105"/>
    <w:rsid w:val="0011523B"/>
    <w:rsid w:val="001158D4"/>
    <w:rsid w:val="00116559"/>
    <w:rsid w:val="001167AA"/>
    <w:rsid w:val="00116B72"/>
    <w:rsid w:val="00116BF8"/>
    <w:rsid w:val="00116F73"/>
    <w:rsid w:val="001172C1"/>
    <w:rsid w:val="0011760E"/>
    <w:rsid w:val="00117ED3"/>
    <w:rsid w:val="00120309"/>
    <w:rsid w:val="00120718"/>
    <w:rsid w:val="001207CF"/>
    <w:rsid w:val="00121210"/>
    <w:rsid w:val="00121281"/>
    <w:rsid w:val="00121A27"/>
    <w:rsid w:val="00121E70"/>
    <w:rsid w:val="001222D7"/>
    <w:rsid w:val="00122606"/>
    <w:rsid w:val="00122BA1"/>
    <w:rsid w:val="001233B6"/>
    <w:rsid w:val="00123714"/>
    <w:rsid w:val="00124263"/>
    <w:rsid w:val="00124DDE"/>
    <w:rsid w:val="00124FA9"/>
    <w:rsid w:val="00125F5B"/>
    <w:rsid w:val="00125F63"/>
    <w:rsid w:val="00126C45"/>
    <w:rsid w:val="00126E97"/>
    <w:rsid w:val="00127215"/>
    <w:rsid w:val="001273D0"/>
    <w:rsid w:val="00127582"/>
    <w:rsid w:val="001312A3"/>
    <w:rsid w:val="0013192A"/>
    <w:rsid w:val="00132F8F"/>
    <w:rsid w:val="001333E6"/>
    <w:rsid w:val="00133B09"/>
    <w:rsid w:val="00136374"/>
    <w:rsid w:val="0013647B"/>
    <w:rsid w:val="00136B8F"/>
    <w:rsid w:val="0013728D"/>
    <w:rsid w:val="0013754F"/>
    <w:rsid w:val="001376D1"/>
    <w:rsid w:val="001378FD"/>
    <w:rsid w:val="00137AEE"/>
    <w:rsid w:val="00137DC7"/>
    <w:rsid w:val="0014031B"/>
    <w:rsid w:val="00140A46"/>
    <w:rsid w:val="00140DAA"/>
    <w:rsid w:val="001415AF"/>
    <w:rsid w:val="00141D2A"/>
    <w:rsid w:val="00141EF0"/>
    <w:rsid w:val="00143849"/>
    <w:rsid w:val="00143C92"/>
    <w:rsid w:val="0014403B"/>
    <w:rsid w:val="001442FC"/>
    <w:rsid w:val="00146C59"/>
    <w:rsid w:val="001476F0"/>
    <w:rsid w:val="00150874"/>
    <w:rsid w:val="00150D3C"/>
    <w:rsid w:val="00151238"/>
    <w:rsid w:val="00151244"/>
    <w:rsid w:val="0015183D"/>
    <w:rsid w:val="00151996"/>
    <w:rsid w:val="00151A45"/>
    <w:rsid w:val="00151CA5"/>
    <w:rsid w:val="001528C4"/>
    <w:rsid w:val="001545B0"/>
    <w:rsid w:val="0015468B"/>
    <w:rsid w:val="001548E3"/>
    <w:rsid w:val="00154DDB"/>
    <w:rsid w:val="001553D2"/>
    <w:rsid w:val="0015577F"/>
    <w:rsid w:val="00156568"/>
    <w:rsid w:val="00156EAE"/>
    <w:rsid w:val="001576BB"/>
    <w:rsid w:val="00157E22"/>
    <w:rsid w:val="001603F5"/>
    <w:rsid w:val="00160712"/>
    <w:rsid w:val="00160E50"/>
    <w:rsid w:val="00161766"/>
    <w:rsid w:val="00161A01"/>
    <w:rsid w:val="00161B86"/>
    <w:rsid w:val="00161F7F"/>
    <w:rsid w:val="00162982"/>
    <w:rsid w:val="00162BCD"/>
    <w:rsid w:val="00162FFA"/>
    <w:rsid w:val="0016358F"/>
    <w:rsid w:val="00163B96"/>
    <w:rsid w:val="00163FD2"/>
    <w:rsid w:val="001641E0"/>
    <w:rsid w:val="00164ABB"/>
    <w:rsid w:val="00165334"/>
    <w:rsid w:val="001667E1"/>
    <w:rsid w:val="0016681E"/>
    <w:rsid w:val="00167365"/>
    <w:rsid w:val="00167627"/>
    <w:rsid w:val="001679C9"/>
    <w:rsid w:val="00170122"/>
    <w:rsid w:val="00170610"/>
    <w:rsid w:val="00170DE0"/>
    <w:rsid w:val="001711B5"/>
    <w:rsid w:val="001720B9"/>
    <w:rsid w:val="00172846"/>
    <w:rsid w:val="001733AE"/>
    <w:rsid w:val="0017385D"/>
    <w:rsid w:val="001742B3"/>
    <w:rsid w:val="00174442"/>
    <w:rsid w:val="00175289"/>
    <w:rsid w:val="001757B3"/>
    <w:rsid w:val="001757F2"/>
    <w:rsid w:val="001762FD"/>
    <w:rsid w:val="00176CBA"/>
    <w:rsid w:val="00177757"/>
    <w:rsid w:val="001804EB"/>
    <w:rsid w:val="001805CF"/>
    <w:rsid w:val="00180621"/>
    <w:rsid w:val="0018094F"/>
    <w:rsid w:val="001819AB"/>
    <w:rsid w:val="00182300"/>
    <w:rsid w:val="001825AF"/>
    <w:rsid w:val="00182697"/>
    <w:rsid w:val="001831A6"/>
    <w:rsid w:val="00183368"/>
    <w:rsid w:val="00183990"/>
    <w:rsid w:val="0018458E"/>
    <w:rsid w:val="001845CD"/>
    <w:rsid w:val="00184FC5"/>
    <w:rsid w:val="001857B6"/>
    <w:rsid w:val="00185845"/>
    <w:rsid w:val="00186D86"/>
    <w:rsid w:val="001872F9"/>
    <w:rsid w:val="0018749A"/>
    <w:rsid w:val="001874D3"/>
    <w:rsid w:val="001874F4"/>
    <w:rsid w:val="00187A89"/>
    <w:rsid w:val="00190BC9"/>
    <w:rsid w:val="00190D74"/>
    <w:rsid w:val="00190E9B"/>
    <w:rsid w:val="0019111D"/>
    <w:rsid w:val="001919F4"/>
    <w:rsid w:val="00191F15"/>
    <w:rsid w:val="001920B2"/>
    <w:rsid w:val="00192310"/>
    <w:rsid w:val="00192A0B"/>
    <w:rsid w:val="00193400"/>
    <w:rsid w:val="00193E09"/>
    <w:rsid w:val="00194389"/>
    <w:rsid w:val="001946BF"/>
    <w:rsid w:val="001949CC"/>
    <w:rsid w:val="00195200"/>
    <w:rsid w:val="00195361"/>
    <w:rsid w:val="00195D10"/>
    <w:rsid w:val="00195EAF"/>
    <w:rsid w:val="00195EC1"/>
    <w:rsid w:val="00196367"/>
    <w:rsid w:val="001963A2"/>
    <w:rsid w:val="0019645A"/>
    <w:rsid w:val="001964D7"/>
    <w:rsid w:val="001967F6"/>
    <w:rsid w:val="001974C8"/>
    <w:rsid w:val="00197708"/>
    <w:rsid w:val="00197B82"/>
    <w:rsid w:val="001A0684"/>
    <w:rsid w:val="001A0898"/>
    <w:rsid w:val="001A1B43"/>
    <w:rsid w:val="001A1BF7"/>
    <w:rsid w:val="001A2C1F"/>
    <w:rsid w:val="001A322B"/>
    <w:rsid w:val="001A3B4F"/>
    <w:rsid w:val="001A465C"/>
    <w:rsid w:val="001A4707"/>
    <w:rsid w:val="001A49B1"/>
    <w:rsid w:val="001A5133"/>
    <w:rsid w:val="001A52A2"/>
    <w:rsid w:val="001A56A0"/>
    <w:rsid w:val="001A5B85"/>
    <w:rsid w:val="001B04B0"/>
    <w:rsid w:val="001B2103"/>
    <w:rsid w:val="001B2128"/>
    <w:rsid w:val="001B2BEF"/>
    <w:rsid w:val="001B2DBA"/>
    <w:rsid w:val="001B4E8C"/>
    <w:rsid w:val="001B6381"/>
    <w:rsid w:val="001B6BDA"/>
    <w:rsid w:val="001B72AA"/>
    <w:rsid w:val="001B7612"/>
    <w:rsid w:val="001C0DC5"/>
    <w:rsid w:val="001C14B6"/>
    <w:rsid w:val="001C1893"/>
    <w:rsid w:val="001C21A7"/>
    <w:rsid w:val="001C2287"/>
    <w:rsid w:val="001C2517"/>
    <w:rsid w:val="001C2F88"/>
    <w:rsid w:val="001C30D8"/>
    <w:rsid w:val="001C393B"/>
    <w:rsid w:val="001C3CAC"/>
    <w:rsid w:val="001C4CAA"/>
    <w:rsid w:val="001C69FF"/>
    <w:rsid w:val="001C7394"/>
    <w:rsid w:val="001D11E0"/>
    <w:rsid w:val="001D2353"/>
    <w:rsid w:val="001D2AB6"/>
    <w:rsid w:val="001D2EA0"/>
    <w:rsid w:val="001D3793"/>
    <w:rsid w:val="001D3AD9"/>
    <w:rsid w:val="001D3D70"/>
    <w:rsid w:val="001D3F4B"/>
    <w:rsid w:val="001D45CA"/>
    <w:rsid w:val="001D4A39"/>
    <w:rsid w:val="001D4DFF"/>
    <w:rsid w:val="001D5265"/>
    <w:rsid w:val="001D60EE"/>
    <w:rsid w:val="001D6DDE"/>
    <w:rsid w:val="001D799B"/>
    <w:rsid w:val="001E08B0"/>
    <w:rsid w:val="001E1125"/>
    <w:rsid w:val="001E2C93"/>
    <w:rsid w:val="001E2E5D"/>
    <w:rsid w:val="001E3042"/>
    <w:rsid w:val="001E31A0"/>
    <w:rsid w:val="001E492C"/>
    <w:rsid w:val="001E5669"/>
    <w:rsid w:val="001E572B"/>
    <w:rsid w:val="001E5AC3"/>
    <w:rsid w:val="001E5B55"/>
    <w:rsid w:val="001E5D0E"/>
    <w:rsid w:val="001E5EDF"/>
    <w:rsid w:val="001E64CB"/>
    <w:rsid w:val="001E6F3F"/>
    <w:rsid w:val="001E7019"/>
    <w:rsid w:val="001E7297"/>
    <w:rsid w:val="001E773B"/>
    <w:rsid w:val="001E7F50"/>
    <w:rsid w:val="001E7FFB"/>
    <w:rsid w:val="001F014E"/>
    <w:rsid w:val="001F1877"/>
    <w:rsid w:val="001F18D5"/>
    <w:rsid w:val="001F1D76"/>
    <w:rsid w:val="001F27D9"/>
    <w:rsid w:val="001F280B"/>
    <w:rsid w:val="001F2E67"/>
    <w:rsid w:val="001F325F"/>
    <w:rsid w:val="001F418D"/>
    <w:rsid w:val="001F442A"/>
    <w:rsid w:val="001F44E9"/>
    <w:rsid w:val="001F488E"/>
    <w:rsid w:val="001F494C"/>
    <w:rsid w:val="001F56B6"/>
    <w:rsid w:val="001F668D"/>
    <w:rsid w:val="001F67FB"/>
    <w:rsid w:val="001F727F"/>
    <w:rsid w:val="001F7979"/>
    <w:rsid w:val="001F7FE7"/>
    <w:rsid w:val="00200010"/>
    <w:rsid w:val="00200DF8"/>
    <w:rsid w:val="0020159C"/>
    <w:rsid w:val="00201FF0"/>
    <w:rsid w:val="002028F8"/>
    <w:rsid w:val="002041B0"/>
    <w:rsid w:val="0020458A"/>
    <w:rsid w:val="002051C4"/>
    <w:rsid w:val="00205255"/>
    <w:rsid w:val="0020628F"/>
    <w:rsid w:val="002062BF"/>
    <w:rsid w:val="0020652D"/>
    <w:rsid w:val="002069B6"/>
    <w:rsid w:val="00206AC1"/>
    <w:rsid w:val="00206B0B"/>
    <w:rsid w:val="002073A7"/>
    <w:rsid w:val="00207651"/>
    <w:rsid w:val="00207CBB"/>
    <w:rsid w:val="00210935"/>
    <w:rsid w:val="00210C8A"/>
    <w:rsid w:val="00211F47"/>
    <w:rsid w:val="002120C4"/>
    <w:rsid w:val="00212169"/>
    <w:rsid w:val="002134C0"/>
    <w:rsid w:val="0021351E"/>
    <w:rsid w:val="0021380E"/>
    <w:rsid w:val="00213D19"/>
    <w:rsid w:val="00214F84"/>
    <w:rsid w:val="002154AE"/>
    <w:rsid w:val="0021557B"/>
    <w:rsid w:val="00215913"/>
    <w:rsid w:val="00215F86"/>
    <w:rsid w:val="0021674C"/>
    <w:rsid w:val="00216A1F"/>
    <w:rsid w:val="00217893"/>
    <w:rsid w:val="002203AF"/>
    <w:rsid w:val="0022050A"/>
    <w:rsid w:val="002205EF"/>
    <w:rsid w:val="002206FC"/>
    <w:rsid w:val="00220703"/>
    <w:rsid w:val="00220FCA"/>
    <w:rsid w:val="00221251"/>
    <w:rsid w:val="00221334"/>
    <w:rsid w:val="002215D8"/>
    <w:rsid w:val="00221BEB"/>
    <w:rsid w:val="0022213D"/>
    <w:rsid w:val="0022309B"/>
    <w:rsid w:val="002242FB"/>
    <w:rsid w:val="002243DD"/>
    <w:rsid w:val="00224505"/>
    <w:rsid w:val="0022463D"/>
    <w:rsid w:val="00224F7F"/>
    <w:rsid w:val="00226841"/>
    <w:rsid w:val="0022694D"/>
    <w:rsid w:val="00226AE0"/>
    <w:rsid w:val="00226FFB"/>
    <w:rsid w:val="002279C9"/>
    <w:rsid w:val="00227BAB"/>
    <w:rsid w:val="00227C7C"/>
    <w:rsid w:val="00227E7A"/>
    <w:rsid w:val="0023075F"/>
    <w:rsid w:val="00230B59"/>
    <w:rsid w:val="00230F8D"/>
    <w:rsid w:val="00231020"/>
    <w:rsid w:val="00231592"/>
    <w:rsid w:val="00231594"/>
    <w:rsid w:val="0023189D"/>
    <w:rsid w:val="002323F9"/>
    <w:rsid w:val="0023241C"/>
    <w:rsid w:val="00232546"/>
    <w:rsid w:val="00232EB5"/>
    <w:rsid w:val="00232FD3"/>
    <w:rsid w:val="0023346E"/>
    <w:rsid w:val="002337AA"/>
    <w:rsid w:val="00233A0B"/>
    <w:rsid w:val="00234825"/>
    <w:rsid w:val="00234BA2"/>
    <w:rsid w:val="00235D71"/>
    <w:rsid w:val="00236CBB"/>
    <w:rsid w:val="00236CBE"/>
    <w:rsid w:val="00236DAE"/>
    <w:rsid w:val="00236F6F"/>
    <w:rsid w:val="00237DCC"/>
    <w:rsid w:val="00240572"/>
    <w:rsid w:val="00240C76"/>
    <w:rsid w:val="002414F7"/>
    <w:rsid w:val="002424EB"/>
    <w:rsid w:val="00242740"/>
    <w:rsid w:val="002429AB"/>
    <w:rsid w:val="00243018"/>
    <w:rsid w:val="0024331E"/>
    <w:rsid w:val="00243370"/>
    <w:rsid w:val="00243A60"/>
    <w:rsid w:val="00244095"/>
    <w:rsid w:val="00244201"/>
    <w:rsid w:val="002446EF"/>
    <w:rsid w:val="00244901"/>
    <w:rsid w:val="002455F1"/>
    <w:rsid w:val="00245A47"/>
    <w:rsid w:val="00246063"/>
    <w:rsid w:val="00246ABB"/>
    <w:rsid w:val="00246CDB"/>
    <w:rsid w:val="00250EB6"/>
    <w:rsid w:val="002515E4"/>
    <w:rsid w:val="00251DC7"/>
    <w:rsid w:val="00252878"/>
    <w:rsid w:val="00253645"/>
    <w:rsid w:val="0025373C"/>
    <w:rsid w:val="0025458C"/>
    <w:rsid w:val="0025475E"/>
    <w:rsid w:val="002549EB"/>
    <w:rsid w:val="0025513B"/>
    <w:rsid w:val="002552CB"/>
    <w:rsid w:val="002560CB"/>
    <w:rsid w:val="0025678D"/>
    <w:rsid w:val="0025701E"/>
    <w:rsid w:val="0025766A"/>
    <w:rsid w:val="0025774F"/>
    <w:rsid w:val="00257865"/>
    <w:rsid w:val="002604A6"/>
    <w:rsid w:val="00260A6B"/>
    <w:rsid w:val="00260D4D"/>
    <w:rsid w:val="0026102A"/>
    <w:rsid w:val="00261725"/>
    <w:rsid w:val="00261A6A"/>
    <w:rsid w:val="002620E4"/>
    <w:rsid w:val="00263EBA"/>
    <w:rsid w:val="00263FFC"/>
    <w:rsid w:val="00264C60"/>
    <w:rsid w:val="00264CFD"/>
    <w:rsid w:val="002655BD"/>
    <w:rsid w:val="0026596E"/>
    <w:rsid w:val="00265D69"/>
    <w:rsid w:val="00265E09"/>
    <w:rsid w:val="00265F5B"/>
    <w:rsid w:val="00266480"/>
    <w:rsid w:val="00266D77"/>
    <w:rsid w:val="0026785A"/>
    <w:rsid w:val="00267882"/>
    <w:rsid w:val="00267CB9"/>
    <w:rsid w:val="0027058C"/>
    <w:rsid w:val="00270D8F"/>
    <w:rsid w:val="002713BA"/>
    <w:rsid w:val="00271638"/>
    <w:rsid w:val="002716B9"/>
    <w:rsid w:val="00272533"/>
    <w:rsid w:val="002727FD"/>
    <w:rsid w:val="002743EA"/>
    <w:rsid w:val="00274671"/>
    <w:rsid w:val="002747FD"/>
    <w:rsid w:val="0027498B"/>
    <w:rsid w:val="00274B30"/>
    <w:rsid w:val="00275F06"/>
    <w:rsid w:val="00275F23"/>
    <w:rsid w:val="00276965"/>
    <w:rsid w:val="002776A0"/>
    <w:rsid w:val="00280977"/>
    <w:rsid w:val="00280B1A"/>
    <w:rsid w:val="00280B34"/>
    <w:rsid w:val="00280EA8"/>
    <w:rsid w:val="002818DC"/>
    <w:rsid w:val="002818E9"/>
    <w:rsid w:val="00281ACA"/>
    <w:rsid w:val="00282114"/>
    <w:rsid w:val="00282810"/>
    <w:rsid w:val="00282BEE"/>
    <w:rsid w:val="00282D9F"/>
    <w:rsid w:val="00283AA6"/>
    <w:rsid w:val="0028480C"/>
    <w:rsid w:val="00285CAB"/>
    <w:rsid w:val="0028658C"/>
    <w:rsid w:val="0028681F"/>
    <w:rsid w:val="002871D6"/>
    <w:rsid w:val="00287745"/>
    <w:rsid w:val="00287B86"/>
    <w:rsid w:val="00287E73"/>
    <w:rsid w:val="002900CC"/>
    <w:rsid w:val="002903E2"/>
    <w:rsid w:val="00290A43"/>
    <w:rsid w:val="00290B9C"/>
    <w:rsid w:val="002912F5"/>
    <w:rsid w:val="00291EC4"/>
    <w:rsid w:val="0029246B"/>
    <w:rsid w:val="00292605"/>
    <w:rsid w:val="0029281E"/>
    <w:rsid w:val="002929E7"/>
    <w:rsid w:val="00293B1B"/>
    <w:rsid w:val="00293D33"/>
    <w:rsid w:val="00293E64"/>
    <w:rsid w:val="00295475"/>
    <w:rsid w:val="002961E3"/>
    <w:rsid w:val="00296FCC"/>
    <w:rsid w:val="002970CB"/>
    <w:rsid w:val="00297417"/>
    <w:rsid w:val="00297A59"/>
    <w:rsid w:val="002A0A7D"/>
    <w:rsid w:val="002A0FF2"/>
    <w:rsid w:val="002A10FF"/>
    <w:rsid w:val="002A1ACD"/>
    <w:rsid w:val="002A1C77"/>
    <w:rsid w:val="002A2181"/>
    <w:rsid w:val="002A223E"/>
    <w:rsid w:val="002A28EB"/>
    <w:rsid w:val="002A29D8"/>
    <w:rsid w:val="002A42BE"/>
    <w:rsid w:val="002A42DB"/>
    <w:rsid w:val="002A4403"/>
    <w:rsid w:val="002A4CA0"/>
    <w:rsid w:val="002A5110"/>
    <w:rsid w:val="002A5209"/>
    <w:rsid w:val="002A5AA5"/>
    <w:rsid w:val="002A5D05"/>
    <w:rsid w:val="002A6091"/>
    <w:rsid w:val="002A65C5"/>
    <w:rsid w:val="002A66FC"/>
    <w:rsid w:val="002A687F"/>
    <w:rsid w:val="002B04F7"/>
    <w:rsid w:val="002B07B3"/>
    <w:rsid w:val="002B086F"/>
    <w:rsid w:val="002B11D0"/>
    <w:rsid w:val="002B13B8"/>
    <w:rsid w:val="002B1B80"/>
    <w:rsid w:val="002B1CC6"/>
    <w:rsid w:val="002B2278"/>
    <w:rsid w:val="002B2586"/>
    <w:rsid w:val="002B262E"/>
    <w:rsid w:val="002B2912"/>
    <w:rsid w:val="002B3219"/>
    <w:rsid w:val="002B406C"/>
    <w:rsid w:val="002B40E7"/>
    <w:rsid w:val="002B4A27"/>
    <w:rsid w:val="002B58B5"/>
    <w:rsid w:val="002C02A0"/>
    <w:rsid w:val="002C1149"/>
    <w:rsid w:val="002C1152"/>
    <w:rsid w:val="002C1C9B"/>
    <w:rsid w:val="002C2484"/>
    <w:rsid w:val="002C2F85"/>
    <w:rsid w:val="002C3147"/>
    <w:rsid w:val="002C390D"/>
    <w:rsid w:val="002C39C3"/>
    <w:rsid w:val="002C3AF1"/>
    <w:rsid w:val="002C3DEB"/>
    <w:rsid w:val="002C4064"/>
    <w:rsid w:val="002C4282"/>
    <w:rsid w:val="002C4AE9"/>
    <w:rsid w:val="002C5980"/>
    <w:rsid w:val="002C5E24"/>
    <w:rsid w:val="002C6747"/>
    <w:rsid w:val="002C6994"/>
    <w:rsid w:val="002C71E8"/>
    <w:rsid w:val="002C7813"/>
    <w:rsid w:val="002C7A7A"/>
    <w:rsid w:val="002C7E46"/>
    <w:rsid w:val="002C7F89"/>
    <w:rsid w:val="002D0049"/>
    <w:rsid w:val="002D0818"/>
    <w:rsid w:val="002D0D82"/>
    <w:rsid w:val="002D0F10"/>
    <w:rsid w:val="002D1A99"/>
    <w:rsid w:val="002D1C9D"/>
    <w:rsid w:val="002D25BB"/>
    <w:rsid w:val="002D262D"/>
    <w:rsid w:val="002D2733"/>
    <w:rsid w:val="002D2E0B"/>
    <w:rsid w:val="002D3334"/>
    <w:rsid w:val="002D4144"/>
    <w:rsid w:val="002D44DF"/>
    <w:rsid w:val="002D46BB"/>
    <w:rsid w:val="002D4AF4"/>
    <w:rsid w:val="002D5D2C"/>
    <w:rsid w:val="002D5DB4"/>
    <w:rsid w:val="002D61D1"/>
    <w:rsid w:val="002D6E90"/>
    <w:rsid w:val="002D79F4"/>
    <w:rsid w:val="002E01BB"/>
    <w:rsid w:val="002E0C34"/>
    <w:rsid w:val="002E0EB1"/>
    <w:rsid w:val="002E1122"/>
    <w:rsid w:val="002E127E"/>
    <w:rsid w:val="002E23FC"/>
    <w:rsid w:val="002E2EF3"/>
    <w:rsid w:val="002E31A0"/>
    <w:rsid w:val="002E3F5C"/>
    <w:rsid w:val="002E4D1E"/>
    <w:rsid w:val="002E4D64"/>
    <w:rsid w:val="002E4E8C"/>
    <w:rsid w:val="002E4ED8"/>
    <w:rsid w:val="002E557A"/>
    <w:rsid w:val="002E57FD"/>
    <w:rsid w:val="002E6125"/>
    <w:rsid w:val="002E7478"/>
    <w:rsid w:val="002F12FB"/>
    <w:rsid w:val="002F1439"/>
    <w:rsid w:val="002F175F"/>
    <w:rsid w:val="002F1843"/>
    <w:rsid w:val="002F27A1"/>
    <w:rsid w:val="002F350C"/>
    <w:rsid w:val="002F38AD"/>
    <w:rsid w:val="002F46BD"/>
    <w:rsid w:val="002F4997"/>
    <w:rsid w:val="002F555E"/>
    <w:rsid w:val="002F58E0"/>
    <w:rsid w:val="002F5E74"/>
    <w:rsid w:val="002F611F"/>
    <w:rsid w:val="002F67D1"/>
    <w:rsid w:val="002F785B"/>
    <w:rsid w:val="00300AB7"/>
    <w:rsid w:val="00300DD4"/>
    <w:rsid w:val="00300DE4"/>
    <w:rsid w:val="00300EBC"/>
    <w:rsid w:val="0030100B"/>
    <w:rsid w:val="003013F1"/>
    <w:rsid w:val="0030229B"/>
    <w:rsid w:val="003022A0"/>
    <w:rsid w:val="00302988"/>
    <w:rsid w:val="0030322F"/>
    <w:rsid w:val="003032B7"/>
    <w:rsid w:val="0030415A"/>
    <w:rsid w:val="00304480"/>
    <w:rsid w:val="003048AA"/>
    <w:rsid w:val="00304A5A"/>
    <w:rsid w:val="00305860"/>
    <w:rsid w:val="00306E0E"/>
    <w:rsid w:val="003079A2"/>
    <w:rsid w:val="00307B46"/>
    <w:rsid w:val="00307DEF"/>
    <w:rsid w:val="0031013A"/>
    <w:rsid w:val="0031033F"/>
    <w:rsid w:val="0031035F"/>
    <w:rsid w:val="00310781"/>
    <w:rsid w:val="00310C30"/>
    <w:rsid w:val="0031128A"/>
    <w:rsid w:val="0031269A"/>
    <w:rsid w:val="00312C27"/>
    <w:rsid w:val="0031340D"/>
    <w:rsid w:val="00313E6C"/>
    <w:rsid w:val="00314381"/>
    <w:rsid w:val="0031441E"/>
    <w:rsid w:val="003145F2"/>
    <w:rsid w:val="00314827"/>
    <w:rsid w:val="0031483C"/>
    <w:rsid w:val="003149CF"/>
    <w:rsid w:val="00315195"/>
    <w:rsid w:val="0031528B"/>
    <w:rsid w:val="0031587A"/>
    <w:rsid w:val="00316778"/>
    <w:rsid w:val="0031773D"/>
    <w:rsid w:val="0031777D"/>
    <w:rsid w:val="003177C7"/>
    <w:rsid w:val="0032020C"/>
    <w:rsid w:val="003204A6"/>
    <w:rsid w:val="00320630"/>
    <w:rsid w:val="003207AF"/>
    <w:rsid w:val="003212D3"/>
    <w:rsid w:val="00321452"/>
    <w:rsid w:val="003217D1"/>
    <w:rsid w:val="00321CBA"/>
    <w:rsid w:val="00321DC6"/>
    <w:rsid w:val="003221F6"/>
    <w:rsid w:val="00322C52"/>
    <w:rsid w:val="003232C9"/>
    <w:rsid w:val="003235A0"/>
    <w:rsid w:val="003237BC"/>
    <w:rsid w:val="00323931"/>
    <w:rsid w:val="00324427"/>
    <w:rsid w:val="00324CB1"/>
    <w:rsid w:val="0032507A"/>
    <w:rsid w:val="00325116"/>
    <w:rsid w:val="0032521E"/>
    <w:rsid w:val="00325E0E"/>
    <w:rsid w:val="003264F5"/>
    <w:rsid w:val="003267E9"/>
    <w:rsid w:val="00326C44"/>
    <w:rsid w:val="003274C8"/>
    <w:rsid w:val="00327C00"/>
    <w:rsid w:val="00327C18"/>
    <w:rsid w:val="00327E29"/>
    <w:rsid w:val="003300D1"/>
    <w:rsid w:val="0033043B"/>
    <w:rsid w:val="00330A5A"/>
    <w:rsid w:val="003316D5"/>
    <w:rsid w:val="003318BE"/>
    <w:rsid w:val="003319A9"/>
    <w:rsid w:val="00331B6F"/>
    <w:rsid w:val="0033235D"/>
    <w:rsid w:val="00333537"/>
    <w:rsid w:val="00333704"/>
    <w:rsid w:val="00333831"/>
    <w:rsid w:val="00333A8C"/>
    <w:rsid w:val="003346FB"/>
    <w:rsid w:val="0033501A"/>
    <w:rsid w:val="003353AE"/>
    <w:rsid w:val="003355C4"/>
    <w:rsid w:val="00335BA6"/>
    <w:rsid w:val="0033606B"/>
    <w:rsid w:val="0033710D"/>
    <w:rsid w:val="003371F0"/>
    <w:rsid w:val="00337293"/>
    <w:rsid w:val="00337E64"/>
    <w:rsid w:val="0034020D"/>
    <w:rsid w:val="00340FED"/>
    <w:rsid w:val="003413DD"/>
    <w:rsid w:val="00341F35"/>
    <w:rsid w:val="00342740"/>
    <w:rsid w:val="0034378F"/>
    <w:rsid w:val="0034391C"/>
    <w:rsid w:val="00343CAF"/>
    <w:rsid w:val="00343D8D"/>
    <w:rsid w:val="00343DDD"/>
    <w:rsid w:val="003443A2"/>
    <w:rsid w:val="00344434"/>
    <w:rsid w:val="00345A74"/>
    <w:rsid w:val="00345AA0"/>
    <w:rsid w:val="00346980"/>
    <w:rsid w:val="0034721A"/>
    <w:rsid w:val="003472FC"/>
    <w:rsid w:val="003474D6"/>
    <w:rsid w:val="00350ECD"/>
    <w:rsid w:val="00351161"/>
    <w:rsid w:val="0035200A"/>
    <w:rsid w:val="003520CB"/>
    <w:rsid w:val="00352F98"/>
    <w:rsid w:val="00353854"/>
    <w:rsid w:val="00353EF1"/>
    <w:rsid w:val="0035405A"/>
    <w:rsid w:val="003547BB"/>
    <w:rsid w:val="00355423"/>
    <w:rsid w:val="00355773"/>
    <w:rsid w:val="00355D07"/>
    <w:rsid w:val="00356398"/>
    <w:rsid w:val="00356AEC"/>
    <w:rsid w:val="003571F7"/>
    <w:rsid w:val="0035769E"/>
    <w:rsid w:val="00357C47"/>
    <w:rsid w:val="003612DE"/>
    <w:rsid w:val="00361587"/>
    <w:rsid w:val="003621AE"/>
    <w:rsid w:val="00362AF7"/>
    <w:rsid w:val="00362F6C"/>
    <w:rsid w:val="003632CA"/>
    <w:rsid w:val="00363B9D"/>
    <w:rsid w:val="003646AC"/>
    <w:rsid w:val="00364E4F"/>
    <w:rsid w:val="00365AA1"/>
    <w:rsid w:val="00365C40"/>
    <w:rsid w:val="00365E9F"/>
    <w:rsid w:val="00366C7D"/>
    <w:rsid w:val="00367689"/>
    <w:rsid w:val="00367A5C"/>
    <w:rsid w:val="00367E2F"/>
    <w:rsid w:val="00370085"/>
    <w:rsid w:val="00370331"/>
    <w:rsid w:val="0037034E"/>
    <w:rsid w:val="00370729"/>
    <w:rsid w:val="00370800"/>
    <w:rsid w:val="00370DD1"/>
    <w:rsid w:val="00372813"/>
    <w:rsid w:val="003732DD"/>
    <w:rsid w:val="00373E92"/>
    <w:rsid w:val="003757F3"/>
    <w:rsid w:val="00375D50"/>
    <w:rsid w:val="00376810"/>
    <w:rsid w:val="0037743C"/>
    <w:rsid w:val="0038005A"/>
    <w:rsid w:val="003818C0"/>
    <w:rsid w:val="00381AD5"/>
    <w:rsid w:val="003825A1"/>
    <w:rsid w:val="00383110"/>
    <w:rsid w:val="003834A1"/>
    <w:rsid w:val="00383A24"/>
    <w:rsid w:val="00383C1C"/>
    <w:rsid w:val="00384767"/>
    <w:rsid w:val="00384E21"/>
    <w:rsid w:val="00385D6C"/>
    <w:rsid w:val="003860AD"/>
    <w:rsid w:val="00386223"/>
    <w:rsid w:val="00386B08"/>
    <w:rsid w:val="00386D76"/>
    <w:rsid w:val="0038702B"/>
    <w:rsid w:val="00387512"/>
    <w:rsid w:val="003917FD"/>
    <w:rsid w:val="00391A20"/>
    <w:rsid w:val="00392170"/>
    <w:rsid w:val="003927E0"/>
    <w:rsid w:val="003930D4"/>
    <w:rsid w:val="0039365B"/>
    <w:rsid w:val="00393883"/>
    <w:rsid w:val="00393E67"/>
    <w:rsid w:val="003946D8"/>
    <w:rsid w:val="00394B07"/>
    <w:rsid w:val="00396669"/>
    <w:rsid w:val="00396914"/>
    <w:rsid w:val="0039725F"/>
    <w:rsid w:val="0039796B"/>
    <w:rsid w:val="00397B1E"/>
    <w:rsid w:val="00397CCC"/>
    <w:rsid w:val="003A056A"/>
    <w:rsid w:val="003A07A7"/>
    <w:rsid w:val="003A0AB0"/>
    <w:rsid w:val="003A10ED"/>
    <w:rsid w:val="003A143D"/>
    <w:rsid w:val="003A1A2A"/>
    <w:rsid w:val="003A1ADA"/>
    <w:rsid w:val="003A2149"/>
    <w:rsid w:val="003A2758"/>
    <w:rsid w:val="003A27CC"/>
    <w:rsid w:val="003A295F"/>
    <w:rsid w:val="003A2CD0"/>
    <w:rsid w:val="003A2DB5"/>
    <w:rsid w:val="003A31D2"/>
    <w:rsid w:val="003A3330"/>
    <w:rsid w:val="003A3C86"/>
    <w:rsid w:val="003A535E"/>
    <w:rsid w:val="003A5493"/>
    <w:rsid w:val="003A55DD"/>
    <w:rsid w:val="003A5C18"/>
    <w:rsid w:val="003A5D97"/>
    <w:rsid w:val="003A69C9"/>
    <w:rsid w:val="003A703A"/>
    <w:rsid w:val="003A76C1"/>
    <w:rsid w:val="003A7D0C"/>
    <w:rsid w:val="003B0494"/>
    <w:rsid w:val="003B05C3"/>
    <w:rsid w:val="003B0A6F"/>
    <w:rsid w:val="003B0D1F"/>
    <w:rsid w:val="003B14DA"/>
    <w:rsid w:val="003B209E"/>
    <w:rsid w:val="003B281B"/>
    <w:rsid w:val="003B28C9"/>
    <w:rsid w:val="003B3348"/>
    <w:rsid w:val="003B3381"/>
    <w:rsid w:val="003B34EA"/>
    <w:rsid w:val="003B3931"/>
    <w:rsid w:val="003B43E5"/>
    <w:rsid w:val="003B4BD9"/>
    <w:rsid w:val="003B4E2D"/>
    <w:rsid w:val="003B4F0B"/>
    <w:rsid w:val="003B5224"/>
    <w:rsid w:val="003B6322"/>
    <w:rsid w:val="003C06B8"/>
    <w:rsid w:val="003C0A83"/>
    <w:rsid w:val="003C23CC"/>
    <w:rsid w:val="003C29E0"/>
    <w:rsid w:val="003C2D4D"/>
    <w:rsid w:val="003C36F1"/>
    <w:rsid w:val="003C461A"/>
    <w:rsid w:val="003C5721"/>
    <w:rsid w:val="003C5B68"/>
    <w:rsid w:val="003C6061"/>
    <w:rsid w:val="003C6233"/>
    <w:rsid w:val="003C65D4"/>
    <w:rsid w:val="003C7F3E"/>
    <w:rsid w:val="003D0B43"/>
    <w:rsid w:val="003D16F2"/>
    <w:rsid w:val="003D183E"/>
    <w:rsid w:val="003D1898"/>
    <w:rsid w:val="003D1B17"/>
    <w:rsid w:val="003D24F5"/>
    <w:rsid w:val="003D28ED"/>
    <w:rsid w:val="003D3870"/>
    <w:rsid w:val="003D38EB"/>
    <w:rsid w:val="003D3D9C"/>
    <w:rsid w:val="003D3F79"/>
    <w:rsid w:val="003D42F8"/>
    <w:rsid w:val="003D4336"/>
    <w:rsid w:val="003D4558"/>
    <w:rsid w:val="003D4CF0"/>
    <w:rsid w:val="003D4E54"/>
    <w:rsid w:val="003D510A"/>
    <w:rsid w:val="003D6959"/>
    <w:rsid w:val="003D6AAB"/>
    <w:rsid w:val="003D6D3A"/>
    <w:rsid w:val="003E051A"/>
    <w:rsid w:val="003E0D67"/>
    <w:rsid w:val="003E10DA"/>
    <w:rsid w:val="003E1D61"/>
    <w:rsid w:val="003E2372"/>
    <w:rsid w:val="003E2412"/>
    <w:rsid w:val="003E2A30"/>
    <w:rsid w:val="003E30B0"/>
    <w:rsid w:val="003E3276"/>
    <w:rsid w:val="003E3301"/>
    <w:rsid w:val="003E4622"/>
    <w:rsid w:val="003E474C"/>
    <w:rsid w:val="003E4B45"/>
    <w:rsid w:val="003E57D8"/>
    <w:rsid w:val="003E5E8F"/>
    <w:rsid w:val="003E6899"/>
    <w:rsid w:val="003E7F0E"/>
    <w:rsid w:val="003F1844"/>
    <w:rsid w:val="003F1CC3"/>
    <w:rsid w:val="003F1ECB"/>
    <w:rsid w:val="003F323C"/>
    <w:rsid w:val="003F3382"/>
    <w:rsid w:val="003F358A"/>
    <w:rsid w:val="003F3EBD"/>
    <w:rsid w:val="003F45C4"/>
    <w:rsid w:val="003F4ABF"/>
    <w:rsid w:val="003F59C1"/>
    <w:rsid w:val="003F639D"/>
    <w:rsid w:val="003F6C4A"/>
    <w:rsid w:val="003F6EEA"/>
    <w:rsid w:val="003F71B7"/>
    <w:rsid w:val="003F7BAD"/>
    <w:rsid w:val="003F7F49"/>
    <w:rsid w:val="0040065C"/>
    <w:rsid w:val="00400821"/>
    <w:rsid w:val="004012FA"/>
    <w:rsid w:val="00402ED7"/>
    <w:rsid w:val="0040373C"/>
    <w:rsid w:val="004056BB"/>
    <w:rsid w:val="004063FC"/>
    <w:rsid w:val="00406555"/>
    <w:rsid w:val="00406F21"/>
    <w:rsid w:val="004070A2"/>
    <w:rsid w:val="00407B37"/>
    <w:rsid w:val="004104EB"/>
    <w:rsid w:val="00410650"/>
    <w:rsid w:val="00410D0D"/>
    <w:rsid w:val="004113EF"/>
    <w:rsid w:val="0041146E"/>
    <w:rsid w:val="004114B9"/>
    <w:rsid w:val="00413A7D"/>
    <w:rsid w:val="00415E31"/>
    <w:rsid w:val="00416CC3"/>
    <w:rsid w:val="00417112"/>
    <w:rsid w:val="0041717E"/>
    <w:rsid w:val="00417B84"/>
    <w:rsid w:val="00417CB4"/>
    <w:rsid w:val="004212DE"/>
    <w:rsid w:val="004214A8"/>
    <w:rsid w:val="004220AB"/>
    <w:rsid w:val="00422378"/>
    <w:rsid w:val="00422458"/>
    <w:rsid w:val="00422918"/>
    <w:rsid w:val="00423EC5"/>
    <w:rsid w:val="00424194"/>
    <w:rsid w:val="00424829"/>
    <w:rsid w:val="004258F0"/>
    <w:rsid w:val="00425A54"/>
    <w:rsid w:val="00425E8E"/>
    <w:rsid w:val="00426846"/>
    <w:rsid w:val="004268C8"/>
    <w:rsid w:val="00426B19"/>
    <w:rsid w:val="00426DEB"/>
    <w:rsid w:val="00426EE9"/>
    <w:rsid w:val="00427097"/>
    <w:rsid w:val="00427698"/>
    <w:rsid w:val="004277CC"/>
    <w:rsid w:val="00427971"/>
    <w:rsid w:val="004279C5"/>
    <w:rsid w:val="004308B4"/>
    <w:rsid w:val="004309B0"/>
    <w:rsid w:val="00430A52"/>
    <w:rsid w:val="00431FBD"/>
    <w:rsid w:val="004322E4"/>
    <w:rsid w:val="0043273D"/>
    <w:rsid w:val="00432C35"/>
    <w:rsid w:val="00433801"/>
    <w:rsid w:val="00433B61"/>
    <w:rsid w:val="0043506F"/>
    <w:rsid w:val="00435664"/>
    <w:rsid w:val="0043570A"/>
    <w:rsid w:val="00435C4C"/>
    <w:rsid w:val="00435FED"/>
    <w:rsid w:val="00436038"/>
    <w:rsid w:val="0043611D"/>
    <w:rsid w:val="00436503"/>
    <w:rsid w:val="00436766"/>
    <w:rsid w:val="0043767B"/>
    <w:rsid w:val="004376EA"/>
    <w:rsid w:val="00437B41"/>
    <w:rsid w:val="00437BE9"/>
    <w:rsid w:val="00437DCB"/>
    <w:rsid w:val="00437EC4"/>
    <w:rsid w:val="004409B6"/>
    <w:rsid w:val="004409C4"/>
    <w:rsid w:val="0044153E"/>
    <w:rsid w:val="00441CE4"/>
    <w:rsid w:val="00441D3B"/>
    <w:rsid w:val="00441EAB"/>
    <w:rsid w:val="004426F5"/>
    <w:rsid w:val="0044292A"/>
    <w:rsid w:val="00442BB3"/>
    <w:rsid w:val="00442E58"/>
    <w:rsid w:val="00443003"/>
    <w:rsid w:val="0044434D"/>
    <w:rsid w:val="00444EC7"/>
    <w:rsid w:val="00445753"/>
    <w:rsid w:val="00445834"/>
    <w:rsid w:val="0044608C"/>
    <w:rsid w:val="00446784"/>
    <w:rsid w:val="004472D4"/>
    <w:rsid w:val="00447488"/>
    <w:rsid w:val="00450385"/>
    <w:rsid w:val="00450522"/>
    <w:rsid w:val="00451179"/>
    <w:rsid w:val="004516C0"/>
    <w:rsid w:val="0045170C"/>
    <w:rsid w:val="00451C6C"/>
    <w:rsid w:val="00451CFC"/>
    <w:rsid w:val="0045230C"/>
    <w:rsid w:val="00454116"/>
    <w:rsid w:val="004555FD"/>
    <w:rsid w:val="00455C0C"/>
    <w:rsid w:val="0045703D"/>
    <w:rsid w:val="004572C8"/>
    <w:rsid w:val="00457D2D"/>
    <w:rsid w:val="00457FB7"/>
    <w:rsid w:val="00460274"/>
    <w:rsid w:val="0046133B"/>
    <w:rsid w:val="0046214E"/>
    <w:rsid w:val="00462939"/>
    <w:rsid w:val="00463992"/>
    <w:rsid w:val="00463BA2"/>
    <w:rsid w:val="004646E2"/>
    <w:rsid w:val="00464C77"/>
    <w:rsid w:val="004657BA"/>
    <w:rsid w:val="00466314"/>
    <w:rsid w:val="00466332"/>
    <w:rsid w:val="00466CDC"/>
    <w:rsid w:val="00467AB4"/>
    <w:rsid w:val="00467C1B"/>
    <w:rsid w:val="00467D04"/>
    <w:rsid w:val="00467D3C"/>
    <w:rsid w:val="004704C7"/>
    <w:rsid w:val="00470BC5"/>
    <w:rsid w:val="00470BDA"/>
    <w:rsid w:val="00470D2D"/>
    <w:rsid w:val="00471CAB"/>
    <w:rsid w:val="0047262C"/>
    <w:rsid w:val="00472C6A"/>
    <w:rsid w:val="00472FCB"/>
    <w:rsid w:val="0047373B"/>
    <w:rsid w:val="00474799"/>
    <w:rsid w:val="00474887"/>
    <w:rsid w:val="004755D9"/>
    <w:rsid w:val="00475E42"/>
    <w:rsid w:val="00476CFD"/>
    <w:rsid w:val="00480130"/>
    <w:rsid w:val="00480989"/>
    <w:rsid w:val="00481BB5"/>
    <w:rsid w:val="00481EF5"/>
    <w:rsid w:val="00483913"/>
    <w:rsid w:val="00483BA3"/>
    <w:rsid w:val="0048502B"/>
    <w:rsid w:val="00486569"/>
    <w:rsid w:val="00487308"/>
    <w:rsid w:val="00490273"/>
    <w:rsid w:val="004903D6"/>
    <w:rsid w:val="00490829"/>
    <w:rsid w:val="00491A24"/>
    <w:rsid w:val="00491A2C"/>
    <w:rsid w:val="00491A3B"/>
    <w:rsid w:val="00491D5E"/>
    <w:rsid w:val="0049281E"/>
    <w:rsid w:val="00492E4F"/>
    <w:rsid w:val="00492FB7"/>
    <w:rsid w:val="00493600"/>
    <w:rsid w:val="00493643"/>
    <w:rsid w:val="0049385B"/>
    <w:rsid w:val="004939C0"/>
    <w:rsid w:val="00493FBB"/>
    <w:rsid w:val="0049418F"/>
    <w:rsid w:val="00494778"/>
    <w:rsid w:val="004948CB"/>
    <w:rsid w:val="00495D93"/>
    <w:rsid w:val="00495F4B"/>
    <w:rsid w:val="004963CF"/>
    <w:rsid w:val="00496490"/>
    <w:rsid w:val="00497D3E"/>
    <w:rsid w:val="004A06F7"/>
    <w:rsid w:val="004A18B5"/>
    <w:rsid w:val="004A1FD4"/>
    <w:rsid w:val="004A2236"/>
    <w:rsid w:val="004A2561"/>
    <w:rsid w:val="004A2B7D"/>
    <w:rsid w:val="004A2E37"/>
    <w:rsid w:val="004A2E75"/>
    <w:rsid w:val="004A487C"/>
    <w:rsid w:val="004A48C4"/>
    <w:rsid w:val="004A48C6"/>
    <w:rsid w:val="004A4C8E"/>
    <w:rsid w:val="004A576F"/>
    <w:rsid w:val="004A59D4"/>
    <w:rsid w:val="004A5C70"/>
    <w:rsid w:val="004A6DB0"/>
    <w:rsid w:val="004A6E88"/>
    <w:rsid w:val="004A7236"/>
    <w:rsid w:val="004A7ED7"/>
    <w:rsid w:val="004B0237"/>
    <w:rsid w:val="004B294E"/>
    <w:rsid w:val="004B2986"/>
    <w:rsid w:val="004B313C"/>
    <w:rsid w:val="004B33E0"/>
    <w:rsid w:val="004B3AA2"/>
    <w:rsid w:val="004B3F29"/>
    <w:rsid w:val="004B4696"/>
    <w:rsid w:val="004B46DC"/>
    <w:rsid w:val="004B4A27"/>
    <w:rsid w:val="004B4FAE"/>
    <w:rsid w:val="004B5C9D"/>
    <w:rsid w:val="004B5D85"/>
    <w:rsid w:val="004B61BC"/>
    <w:rsid w:val="004B6710"/>
    <w:rsid w:val="004B6762"/>
    <w:rsid w:val="004B7218"/>
    <w:rsid w:val="004B7427"/>
    <w:rsid w:val="004B749E"/>
    <w:rsid w:val="004B760D"/>
    <w:rsid w:val="004C0B0D"/>
    <w:rsid w:val="004C14DF"/>
    <w:rsid w:val="004C1693"/>
    <w:rsid w:val="004C28D2"/>
    <w:rsid w:val="004C31C1"/>
    <w:rsid w:val="004C3AD1"/>
    <w:rsid w:val="004C3BBF"/>
    <w:rsid w:val="004C53AB"/>
    <w:rsid w:val="004C566C"/>
    <w:rsid w:val="004C61DA"/>
    <w:rsid w:val="004C6EB9"/>
    <w:rsid w:val="004C7134"/>
    <w:rsid w:val="004C74C9"/>
    <w:rsid w:val="004C760B"/>
    <w:rsid w:val="004C7745"/>
    <w:rsid w:val="004C794E"/>
    <w:rsid w:val="004C7B96"/>
    <w:rsid w:val="004D00C1"/>
    <w:rsid w:val="004D14D7"/>
    <w:rsid w:val="004D1EA6"/>
    <w:rsid w:val="004D24AE"/>
    <w:rsid w:val="004D2634"/>
    <w:rsid w:val="004D263B"/>
    <w:rsid w:val="004D33EE"/>
    <w:rsid w:val="004D3EF2"/>
    <w:rsid w:val="004D401E"/>
    <w:rsid w:val="004D56B8"/>
    <w:rsid w:val="004D6D3F"/>
    <w:rsid w:val="004D6F61"/>
    <w:rsid w:val="004D6FF3"/>
    <w:rsid w:val="004D7C7B"/>
    <w:rsid w:val="004D7CBE"/>
    <w:rsid w:val="004E040D"/>
    <w:rsid w:val="004E0917"/>
    <w:rsid w:val="004E0ABA"/>
    <w:rsid w:val="004E0C08"/>
    <w:rsid w:val="004E18CE"/>
    <w:rsid w:val="004E1B07"/>
    <w:rsid w:val="004E26FB"/>
    <w:rsid w:val="004E2827"/>
    <w:rsid w:val="004E29C8"/>
    <w:rsid w:val="004E29E3"/>
    <w:rsid w:val="004E2F7F"/>
    <w:rsid w:val="004E31F2"/>
    <w:rsid w:val="004E3A3E"/>
    <w:rsid w:val="004E3E83"/>
    <w:rsid w:val="004E419D"/>
    <w:rsid w:val="004E41AF"/>
    <w:rsid w:val="004E443C"/>
    <w:rsid w:val="004E4681"/>
    <w:rsid w:val="004E4A5A"/>
    <w:rsid w:val="004E4B82"/>
    <w:rsid w:val="004E4CF1"/>
    <w:rsid w:val="004E5422"/>
    <w:rsid w:val="004E549B"/>
    <w:rsid w:val="004E5613"/>
    <w:rsid w:val="004E5795"/>
    <w:rsid w:val="004E6C3A"/>
    <w:rsid w:val="004E6FCC"/>
    <w:rsid w:val="004E7AC1"/>
    <w:rsid w:val="004E7B3D"/>
    <w:rsid w:val="004E7CF6"/>
    <w:rsid w:val="004F0078"/>
    <w:rsid w:val="004F020C"/>
    <w:rsid w:val="004F055C"/>
    <w:rsid w:val="004F09E2"/>
    <w:rsid w:val="004F0F5A"/>
    <w:rsid w:val="004F0F89"/>
    <w:rsid w:val="004F20A8"/>
    <w:rsid w:val="004F2618"/>
    <w:rsid w:val="004F2AFC"/>
    <w:rsid w:val="004F42AB"/>
    <w:rsid w:val="004F42C6"/>
    <w:rsid w:val="004F4862"/>
    <w:rsid w:val="004F4D41"/>
    <w:rsid w:val="004F6A46"/>
    <w:rsid w:val="004F707D"/>
    <w:rsid w:val="004F7691"/>
    <w:rsid w:val="004F7A60"/>
    <w:rsid w:val="004F7AD3"/>
    <w:rsid w:val="004F7B91"/>
    <w:rsid w:val="004F7F69"/>
    <w:rsid w:val="005012E8"/>
    <w:rsid w:val="005014F4"/>
    <w:rsid w:val="00501A12"/>
    <w:rsid w:val="00501CC9"/>
    <w:rsid w:val="005025FB"/>
    <w:rsid w:val="00502992"/>
    <w:rsid w:val="00502AEC"/>
    <w:rsid w:val="00503A85"/>
    <w:rsid w:val="00504E30"/>
    <w:rsid w:val="00504F0D"/>
    <w:rsid w:val="00505519"/>
    <w:rsid w:val="005059EF"/>
    <w:rsid w:val="0050629D"/>
    <w:rsid w:val="005067AD"/>
    <w:rsid w:val="00506A15"/>
    <w:rsid w:val="00506B50"/>
    <w:rsid w:val="00507784"/>
    <w:rsid w:val="00510069"/>
    <w:rsid w:val="0051022C"/>
    <w:rsid w:val="00510990"/>
    <w:rsid w:val="0051232A"/>
    <w:rsid w:val="00512426"/>
    <w:rsid w:val="00512CFA"/>
    <w:rsid w:val="00512D01"/>
    <w:rsid w:val="00513874"/>
    <w:rsid w:val="00513F95"/>
    <w:rsid w:val="00513FC1"/>
    <w:rsid w:val="00513FE4"/>
    <w:rsid w:val="0051412C"/>
    <w:rsid w:val="005144AB"/>
    <w:rsid w:val="00514EDB"/>
    <w:rsid w:val="00514FA8"/>
    <w:rsid w:val="0051505B"/>
    <w:rsid w:val="00515621"/>
    <w:rsid w:val="0051576F"/>
    <w:rsid w:val="005159EC"/>
    <w:rsid w:val="0051629E"/>
    <w:rsid w:val="0051700C"/>
    <w:rsid w:val="00517A04"/>
    <w:rsid w:val="00517C66"/>
    <w:rsid w:val="00520637"/>
    <w:rsid w:val="00520DE4"/>
    <w:rsid w:val="0052144A"/>
    <w:rsid w:val="00521E83"/>
    <w:rsid w:val="00522759"/>
    <w:rsid w:val="00522842"/>
    <w:rsid w:val="0052360A"/>
    <w:rsid w:val="00524D13"/>
    <w:rsid w:val="00524EF1"/>
    <w:rsid w:val="005253F5"/>
    <w:rsid w:val="00525867"/>
    <w:rsid w:val="005258E4"/>
    <w:rsid w:val="005259E4"/>
    <w:rsid w:val="00526432"/>
    <w:rsid w:val="00526497"/>
    <w:rsid w:val="005266F7"/>
    <w:rsid w:val="00526E13"/>
    <w:rsid w:val="005275F8"/>
    <w:rsid w:val="00527EFC"/>
    <w:rsid w:val="0053013A"/>
    <w:rsid w:val="005308C4"/>
    <w:rsid w:val="00531057"/>
    <w:rsid w:val="005319BC"/>
    <w:rsid w:val="00531B64"/>
    <w:rsid w:val="00531CAB"/>
    <w:rsid w:val="005324F9"/>
    <w:rsid w:val="005331BA"/>
    <w:rsid w:val="00533355"/>
    <w:rsid w:val="00533EEB"/>
    <w:rsid w:val="005342AE"/>
    <w:rsid w:val="005346C3"/>
    <w:rsid w:val="0053512A"/>
    <w:rsid w:val="0053551F"/>
    <w:rsid w:val="005355F5"/>
    <w:rsid w:val="00535ECB"/>
    <w:rsid w:val="005363E8"/>
    <w:rsid w:val="00537489"/>
    <w:rsid w:val="005406A2"/>
    <w:rsid w:val="005406E3"/>
    <w:rsid w:val="00540C88"/>
    <w:rsid w:val="00540DE5"/>
    <w:rsid w:val="0054263C"/>
    <w:rsid w:val="0054312D"/>
    <w:rsid w:val="0054334C"/>
    <w:rsid w:val="0054343C"/>
    <w:rsid w:val="00543580"/>
    <w:rsid w:val="00543ED2"/>
    <w:rsid w:val="00543ED6"/>
    <w:rsid w:val="00544061"/>
    <w:rsid w:val="00544076"/>
    <w:rsid w:val="005449DD"/>
    <w:rsid w:val="005449E0"/>
    <w:rsid w:val="00545478"/>
    <w:rsid w:val="00545999"/>
    <w:rsid w:val="00546052"/>
    <w:rsid w:val="0054620C"/>
    <w:rsid w:val="0054699C"/>
    <w:rsid w:val="00546EF6"/>
    <w:rsid w:val="0054726D"/>
    <w:rsid w:val="0054737B"/>
    <w:rsid w:val="005474AC"/>
    <w:rsid w:val="00547650"/>
    <w:rsid w:val="00547CD2"/>
    <w:rsid w:val="00547EC2"/>
    <w:rsid w:val="00550081"/>
    <w:rsid w:val="00550224"/>
    <w:rsid w:val="00550426"/>
    <w:rsid w:val="00550514"/>
    <w:rsid w:val="005506B3"/>
    <w:rsid w:val="00550920"/>
    <w:rsid w:val="00551759"/>
    <w:rsid w:val="00551ED9"/>
    <w:rsid w:val="005522E4"/>
    <w:rsid w:val="0055284B"/>
    <w:rsid w:val="0055299C"/>
    <w:rsid w:val="00553365"/>
    <w:rsid w:val="005535B2"/>
    <w:rsid w:val="00554322"/>
    <w:rsid w:val="00554979"/>
    <w:rsid w:val="00554A8A"/>
    <w:rsid w:val="00554EF2"/>
    <w:rsid w:val="005555A6"/>
    <w:rsid w:val="0055563A"/>
    <w:rsid w:val="005559F9"/>
    <w:rsid w:val="00555CDE"/>
    <w:rsid w:val="00555E4F"/>
    <w:rsid w:val="00555F5F"/>
    <w:rsid w:val="00556280"/>
    <w:rsid w:val="00556EC8"/>
    <w:rsid w:val="00556F0D"/>
    <w:rsid w:val="00557901"/>
    <w:rsid w:val="00560C8F"/>
    <w:rsid w:val="00561160"/>
    <w:rsid w:val="00561379"/>
    <w:rsid w:val="005614E8"/>
    <w:rsid w:val="00561B72"/>
    <w:rsid w:val="00561FB2"/>
    <w:rsid w:val="00562139"/>
    <w:rsid w:val="00562178"/>
    <w:rsid w:val="005624C4"/>
    <w:rsid w:val="00564144"/>
    <w:rsid w:val="00564159"/>
    <w:rsid w:val="005644E0"/>
    <w:rsid w:val="00565C3D"/>
    <w:rsid w:val="00566058"/>
    <w:rsid w:val="005669A0"/>
    <w:rsid w:val="005669D7"/>
    <w:rsid w:val="00566D5E"/>
    <w:rsid w:val="00567547"/>
    <w:rsid w:val="00567D2A"/>
    <w:rsid w:val="00567DA0"/>
    <w:rsid w:val="0057007E"/>
    <w:rsid w:val="005704CB"/>
    <w:rsid w:val="00570624"/>
    <w:rsid w:val="005708FB"/>
    <w:rsid w:val="00570DEA"/>
    <w:rsid w:val="00571401"/>
    <w:rsid w:val="0057255B"/>
    <w:rsid w:val="00572EA8"/>
    <w:rsid w:val="00573557"/>
    <w:rsid w:val="00573C3F"/>
    <w:rsid w:val="00573D11"/>
    <w:rsid w:val="005741DC"/>
    <w:rsid w:val="00574280"/>
    <w:rsid w:val="00574991"/>
    <w:rsid w:val="00574AE1"/>
    <w:rsid w:val="00574CCF"/>
    <w:rsid w:val="00574F98"/>
    <w:rsid w:val="00575564"/>
    <w:rsid w:val="00575719"/>
    <w:rsid w:val="00576539"/>
    <w:rsid w:val="00576CE9"/>
    <w:rsid w:val="00576DA2"/>
    <w:rsid w:val="00576F1A"/>
    <w:rsid w:val="00577928"/>
    <w:rsid w:val="00577E67"/>
    <w:rsid w:val="0058021A"/>
    <w:rsid w:val="005808B7"/>
    <w:rsid w:val="00580ED8"/>
    <w:rsid w:val="005810F3"/>
    <w:rsid w:val="00581168"/>
    <w:rsid w:val="0058123E"/>
    <w:rsid w:val="005829B5"/>
    <w:rsid w:val="00582D81"/>
    <w:rsid w:val="00582DD7"/>
    <w:rsid w:val="00582E1B"/>
    <w:rsid w:val="00583560"/>
    <w:rsid w:val="0058386B"/>
    <w:rsid w:val="00583C73"/>
    <w:rsid w:val="0058450D"/>
    <w:rsid w:val="0058490E"/>
    <w:rsid w:val="00584F62"/>
    <w:rsid w:val="0058508C"/>
    <w:rsid w:val="00585365"/>
    <w:rsid w:val="005870C8"/>
    <w:rsid w:val="00587EBD"/>
    <w:rsid w:val="005902D3"/>
    <w:rsid w:val="005904AA"/>
    <w:rsid w:val="00591313"/>
    <w:rsid w:val="00591DF4"/>
    <w:rsid w:val="005931D2"/>
    <w:rsid w:val="00593612"/>
    <w:rsid w:val="005937F9"/>
    <w:rsid w:val="00594479"/>
    <w:rsid w:val="0059691A"/>
    <w:rsid w:val="00596A4B"/>
    <w:rsid w:val="005A0C0C"/>
    <w:rsid w:val="005A0C25"/>
    <w:rsid w:val="005A1566"/>
    <w:rsid w:val="005A1E33"/>
    <w:rsid w:val="005A1F28"/>
    <w:rsid w:val="005A23E9"/>
    <w:rsid w:val="005A288E"/>
    <w:rsid w:val="005A3A71"/>
    <w:rsid w:val="005A4FAE"/>
    <w:rsid w:val="005A5564"/>
    <w:rsid w:val="005A60A9"/>
    <w:rsid w:val="005A6995"/>
    <w:rsid w:val="005A794F"/>
    <w:rsid w:val="005A79D8"/>
    <w:rsid w:val="005B0F54"/>
    <w:rsid w:val="005B1EAA"/>
    <w:rsid w:val="005B2626"/>
    <w:rsid w:val="005B2A8C"/>
    <w:rsid w:val="005B4ABA"/>
    <w:rsid w:val="005B54C2"/>
    <w:rsid w:val="005B661A"/>
    <w:rsid w:val="005C04D7"/>
    <w:rsid w:val="005C0A76"/>
    <w:rsid w:val="005C0CCC"/>
    <w:rsid w:val="005C1187"/>
    <w:rsid w:val="005C1529"/>
    <w:rsid w:val="005C1904"/>
    <w:rsid w:val="005C1C6B"/>
    <w:rsid w:val="005C1EE6"/>
    <w:rsid w:val="005C210A"/>
    <w:rsid w:val="005C297A"/>
    <w:rsid w:val="005C33F9"/>
    <w:rsid w:val="005C429F"/>
    <w:rsid w:val="005C4A38"/>
    <w:rsid w:val="005C5586"/>
    <w:rsid w:val="005C5655"/>
    <w:rsid w:val="005C56A2"/>
    <w:rsid w:val="005C5797"/>
    <w:rsid w:val="005C587A"/>
    <w:rsid w:val="005C6E6E"/>
    <w:rsid w:val="005C775D"/>
    <w:rsid w:val="005C7C47"/>
    <w:rsid w:val="005C7CFA"/>
    <w:rsid w:val="005D044A"/>
    <w:rsid w:val="005D04E4"/>
    <w:rsid w:val="005D050A"/>
    <w:rsid w:val="005D0865"/>
    <w:rsid w:val="005D0F7B"/>
    <w:rsid w:val="005D10D7"/>
    <w:rsid w:val="005D2285"/>
    <w:rsid w:val="005D40EB"/>
    <w:rsid w:val="005D433B"/>
    <w:rsid w:val="005D5BDB"/>
    <w:rsid w:val="005D5E02"/>
    <w:rsid w:val="005D6975"/>
    <w:rsid w:val="005D6B47"/>
    <w:rsid w:val="005D6FD5"/>
    <w:rsid w:val="005E05BD"/>
    <w:rsid w:val="005E08A9"/>
    <w:rsid w:val="005E0C91"/>
    <w:rsid w:val="005E1206"/>
    <w:rsid w:val="005E2B25"/>
    <w:rsid w:val="005E2B4D"/>
    <w:rsid w:val="005E336F"/>
    <w:rsid w:val="005E3D7F"/>
    <w:rsid w:val="005E3FE4"/>
    <w:rsid w:val="005E4761"/>
    <w:rsid w:val="005E4C8B"/>
    <w:rsid w:val="005E621C"/>
    <w:rsid w:val="005E6476"/>
    <w:rsid w:val="005E6EF5"/>
    <w:rsid w:val="005E7394"/>
    <w:rsid w:val="005E7B3E"/>
    <w:rsid w:val="005E7E7E"/>
    <w:rsid w:val="005F1199"/>
    <w:rsid w:val="005F1608"/>
    <w:rsid w:val="005F1DAE"/>
    <w:rsid w:val="005F2233"/>
    <w:rsid w:val="005F2426"/>
    <w:rsid w:val="005F30A8"/>
    <w:rsid w:val="005F3383"/>
    <w:rsid w:val="005F397D"/>
    <w:rsid w:val="005F3ACF"/>
    <w:rsid w:val="005F43FC"/>
    <w:rsid w:val="005F49D3"/>
    <w:rsid w:val="005F4F1E"/>
    <w:rsid w:val="005F51E4"/>
    <w:rsid w:val="005F592D"/>
    <w:rsid w:val="005F5C25"/>
    <w:rsid w:val="005F6CAA"/>
    <w:rsid w:val="005F7F13"/>
    <w:rsid w:val="00601C85"/>
    <w:rsid w:val="006022F9"/>
    <w:rsid w:val="00602D33"/>
    <w:rsid w:val="006052E8"/>
    <w:rsid w:val="0060545A"/>
    <w:rsid w:val="00605E13"/>
    <w:rsid w:val="00605F38"/>
    <w:rsid w:val="006061F6"/>
    <w:rsid w:val="006068E9"/>
    <w:rsid w:val="00606C62"/>
    <w:rsid w:val="00606EA5"/>
    <w:rsid w:val="006076F6"/>
    <w:rsid w:val="006077A9"/>
    <w:rsid w:val="00607B0C"/>
    <w:rsid w:val="00610449"/>
    <w:rsid w:val="006110EB"/>
    <w:rsid w:val="00611E9D"/>
    <w:rsid w:val="00611F8B"/>
    <w:rsid w:val="00612A80"/>
    <w:rsid w:val="00612DB1"/>
    <w:rsid w:val="006132B8"/>
    <w:rsid w:val="006134D1"/>
    <w:rsid w:val="006146A6"/>
    <w:rsid w:val="006162F8"/>
    <w:rsid w:val="00616357"/>
    <w:rsid w:val="00616DF8"/>
    <w:rsid w:val="00620794"/>
    <w:rsid w:val="0062090C"/>
    <w:rsid w:val="0062098B"/>
    <w:rsid w:val="006215E7"/>
    <w:rsid w:val="0062169A"/>
    <w:rsid w:val="00621E46"/>
    <w:rsid w:val="00622069"/>
    <w:rsid w:val="00622D90"/>
    <w:rsid w:val="006233B2"/>
    <w:rsid w:val="00623471"/>
    <w:rsid w:val="0062384D"/>
    <w:rsid w:val="0062387F"/>
    <w:rsid w:val="00623B7B"/>
    <w:rsid w:val="00625733"/>
    <w:rsid w:val="00625886"/>
    <w:rsid w:val="0062649D"/>
    <w:rsid w:val="0062654C"/>
    <w:rsid w:val="00627DAB"/>
    <w:rsid w:val="00630373"/>
    <w:rsid w:val="00630AE5"/>
    <w:rsid w:val="00630C67"/>
    <w:rsid w:val="00632248"/>
    <w:rsid w:val="00632EC5"/>
    <w:rsid w:val="00632F79"/>
    <w:rsid w:val="00633A76"/>
    <w:rsid w:val="006356D0"/>
    <w:rsid w:val="006360D3"/>
    <w:rsid w:val="0063622C"/>
    <w:rsid w:val="006375E2"/>
    <w:rsid w:val="00637780"/>
    <w:rsid w:val="006406C1"/>
    <w:rsid w:val="00640983"/>
    <w:rsid w:val="00640AAA"/>
    <w:rsid w:val="00640BDC"/>
    <w:rsid w:val="0064198B"/>
    <w:rsid w:val="006419B1"/>
    <w:rsid w:val="00641D99"/>
    <w:rsid w:val="0064218D"/>
    <w:rsid w:val="006424B6"/>
    <w:rsid w:val="0064297D"/>
    <w:rsid w:val="006430AD"/>
    <w:rsid w:val="00644354"/>
    <w:rsid w:val="0064459A"/>
    <w:rsid w:val="00644A49"/>
    <w:rsid w:val="00644B84"/>
    <w:rsid w:val="00645744"/>
    <w:rsid w:val="00645CB2"/>
    <w:rsid w:val="00646613"/>
    <w:rsid w:val="00646F21"/>
    <w:rsid w:val="00647344"/>
    <w:rsid w:val="006501E4"/>
    <w:rsid w:val="0065065C"/>
    <w:rsid w:val="00650F6A"/>
    <w:rsid w:val="00650F96"/>
    <w:rsid w:val="006511C9"/>
    <w:rsid w:val="00651640"/>
    <w:rsid w:val="00651979"/>
    <w:rsid w:val="00651DCB"/>
    <w:rsid w:val="006536B4"/>
    <w:rsid w:val="0065373B"/>
    <w:rsid w:val="00653C99"/>
    <w:rsid w:val="00653E01"/>
    <w:rsid w:val="00655010"/>
    <w:rsid w:val="00655C43"/>
    <w:rsid w:val="006560CE"/>
    <w:rsid w:val="006560FD"/>
    <w:rsid w:val="00656BB5"/>
    <w:rsid w:val="0065709B"/>
    <w:rsid w:val="0065723B"/>
    <w:rsid w:val="0065729D"/>
    <w:rsid w:val="006578C9"/>
    <w:rsid w:val="006605B3"/>
    <w:rsid w:val="006611FD"/>
    <w:rsid w:val="00661EBF"/>
    <w:rsid w:val="006631C1"/>
    <w:rsid w:val="006642F9"/>
    <w:rsid w:val="00664349"/>
    <w:rsid w:val="00664D29"/>
    <w:rsid w:val="00664DF1"/>
    <w:rsid w:val="006656B1"/>
    <w:rsid w:val="0066592C"/>
    <w:rsid w:val="00665A80"/>
    <w:rsid w:val="006661B4"/>
    <w:rsid w:val="00666213"/>
    <w:rsid w:val="00666DBD"/>
    <w:rsid w:val="0066723F"/>
    <w:rsid w:val="00670103"/>
    <w:rsid w:val="00670838"/>
    <w:rsid w:val="00670921"/>
    <w:rsid w:val="00670BB9"/>
    <w:rsid w:val="00670BEC"/>
    <w:rsid w:val="00670CF5"/>
    <w:rsid w:val="0067218D"/>
    <w:rsid w:val="0067244D"/>
    <w:rsid w:val="006725A7"/>
    <w:rsid w:val="006727C8"/>
    <w:rsid w:val="00672D4C"/>
    <w:rsid w:val="0067316A"/>
    <w:rsid w:val="0067329F"/>
    <w:rsid w:val="00673462"/>
    <w:rsid w:val="00673F9E"/>
    <w:rsid w:val="0067478E"/>
    <w:rsid w:val="006753D9"/>
    <w:rsid w:val="006757B1"/>
    <w:rsid w:val="00675DD9"/>
    <w:rsid w:val="006762D7"/>
    <w:rsid w:val="006766C8"/>
    <w:rsid w:val="00676B48"/>
    <w:rsid w:val="00676CD5"/>
    <w:rsid w:val="00676E55"/>
    <w:rsid w:val="006774D8"/>
    <w:rsid w:val="00677805"/>
    <w:rsid w:val="00677D01"/>
    <w:rsid w:val="00680624"/>
    <w:rsid w:val="0068082F"/>
    <w:rsid w:val="0068130B"/>
    <w:rsid w:val="00681D20"/>
    <w:rsid w:val="00681D89"/>
    <w:rsid w:val="00681F98"/>
    <w:rsid w:val="0068203D"/>
    <w:rsid w:val="006820FC"/>
    <w:rsid w:val="006831A0"/>
    <w:rsid w:val="00683291"/>
    <w:rsid w:val="00684C00"/>
    <w:rsid w:val="00684D5C"/>
    <w:rsid w:val="00685538"/>
    <w:rsid w:val="00685C1A"/>
    <w:rsid w:val="00685ED1"/>
    <w:rsid w:val="00686122"/>
    <w:rsid w:val="006861DC"/>
    <w:rsid w:val="00686262"/>
    <w:rsid w:val="00686268"/>
    <w:rsid w:val="00686671"/>
    <w:rsid w:val="006867A2"/>
    <w:rsid w:val="00686EA9"/>
    <w:rsid w:val="006875F0"/>
    <w:rsid w:val="00687AA6"/>
    <w:rsid w:val="006902ED"/>
    <w:rsid w:val="00692505"/>
    <w:rsid w:val="00692695"/>
    <w:rsid w:val="00692826"/>
    <w:rsid w:val="00692A34"/>
    <w:rsid w:val="00693535"/>
    <w:rsid w:val="006940E3"/>
    <w:rsid w:val="00694E02"/>
    <w:rsid w:val="00695F24"/>
    <w:rsid w:val="00696364"/>
    <w:rsid w:val="006967E3"/>
    <w:rsid w:val="00696AFE"/>
    <w:rsid w:val="00696C6B"/>
    <w:rsid w:val="0069784F"/>
    <w:rsid w:val="006A014B"/>
    <w:rsid w:val="006A22F8"/>
    <w:rsid w:val="006A42BB"/>
    <w:rsid w:val="006A493B"/>
    <w:rsid w:val="006A4A27"/>
    <w:rsid w:val="006A4F27"/>
    <w:rsid w:val="006A4FB7"/>
    <w:rsid w:val="006A5740"/>
    <w:rsid w:val="006A5AB5"/>
    <w:rsid w:val="006A5BFD"/>
    <w:rsid w:val="006A600D"/>
    <w:rsid w:val="006A7D97"/>
    <w:rsid w:val="006B0122"/>
    <w:rsid w:val="006B0E2A"/>
    <w:rsid w:val="006B0E46"/>
    <w:rsid w:val="006B1111"/>
    <w:rsid w:val="006B11AC"/>
    <w:rsid w:val="006B1AF5"/>
    <w:rsid w:val="006B2C36"/>
    <w:rsid w:val="006B33D7"/>
    <w:rsid w:val="006B3826"/>
    <w:rsid w:val="006B51C6"/>
    <w:rsid w:val="006B566A"/>
    <w:rsid w:val="006B65A6"/>
    <w:rsid w:val="006B6DA7"/>
    <w:rsid w:val="006B759E"/>
    <w:rsid w:val="006B7B1A"/>
    <w:rsid w:val="006B7C08"/>
    <w:rsid w:val="006C0847"/>
    <w:rsid w:val="006C0EFB"/>
    <w:rsid w:val="006C1125"/>
    <w:rsid w:val="006C1ACD"/>
    <w:rsid w:val="006C1F02"/>
    <w:rsid w:val="006C2002"/>
    <w:rsid w:val="006C2666"/>
    <w:rsid w:val="006C27EF"/>
    <w:rsid w:val="006C2EB1"/>
    <w:rsid w:val="006C36B1"/>
    <w:rsid w:val="006C381C"/>
    <w:rsid w:val="006C4060"/>
    <w:rsid w:val="006C4178"/>
    <w:rsid w:val="006C4F6C"/>
    <w:rsid w:val="006C50FD"/>
    <w:rsid w:val="006C51F1"/>
    <w:rsid w:val="006C5859"/>
    <w:rsid w:val="006C5E2F"/>
    <w:rsid w:val="006C61B9"/>
    <w:rsid w:val="006C64B2"/>
    <w:rsid w:val="006C64F7"/>
    <w:rsid w:val="006C71C2"/>
    <w:rsid w:val="006D0BCE"/>
    <w:rsid w:val="006D0C61"/>
    <w:rsid w:val="006D17CD"/>
    <w:rsid w:val="006D1EAC"/>
    <w:rsid w:val="006D3B59"/>
    <w:rsid w:val="006D4C0A"/>
    <w:rsid w:val="006D5BC6"/>
    <w:rsid w:val="006D5F60"/>
    <w:rsid w:val="006D5F8A"/>
    <w:rsid w:val="006D7065"/>
    <w:rsid w:val="006D7E23"/>
    <w:rsid w:val="006E0591"/>
    <w:rsid w:val="006E1C6B"/>
    <w:rsid w:val="006E1F3B"/>
    <w:rsid w:val="006E31D3"/>
    <w:rsid w:val="006E350B"/>
    <w:rsid w:val="006E3ABC"/>
    <w:rsid w:val="006E3EFA"/>
    <w:rsid w:val="006E5039"/>
    <w:rsid w:val="006E512A"/>
    <w:rsid w:val="006E57F8"/>
    <w:rsid w:val="006E5BF2"/>
    <w:rsid w:val="006E652D"/>
    <w:rsid w:val="006E6CE5"/>
    <w:rsid w:val="006E722F"/>
    <w:rsid w:val="006E750E"/>
    <w:rsid w:val="006F091B"/>
    <w:rsid w:val="006F0956"/>
    <w:rsid w:val="006F0C2A"/>
    <w:rsid w:val="006F18B0"/>
    <w:rsid w:val="006F2884"/>
    <w:rsid w:val="006F2D4E"/>
    <w:rsid w:val="006F3480"/>
    <w:rsid w:val="006F372D"/>
    <w:rsid w:val="006F4013"/>
    <w:rsid w:val="006F4043"/>
    <w:rsid w:val="006F4DD7"/>
    <w:rsid w:val="006F54DF"/>
    <w:rsid w:val="006F562A"/>
    <w:rsid w:val="006F60E6"/>
    <w:rsid w:val="006F6279"/>
    <w:rsid w:val="006F7CED"/>
    <w:rsid w:val="00700936"/>
    <w:rsid w:val="0070134A"/>
    <w:rsid w:val="00701647"/>
    <w:rsid w:val="0070171D"/>
    <w:rsid w:val="00701FC0"/>
    <w:rsid w:val="00702001"/>
    <w:rsid w:val="007027E4"/>
    <w:rsid w:val="00702A18"/>
    <w:rsid w:val="00702C07"/>
    <w:rsid w:val="00703457"/>
    <w:rsid w:val="007040EE"/>
    <w:rsid w:val="00704541"/>
    <w:rsid w:val="00705041"/>
    <w:rsid w:val="0070534E"/>
    <w:rsid w:val="007058FD"/>
    <w:rsid w:val="00705B19"/>
    <w:rsid w:val="00707569"/>
    <w:rsid w:val="00707D90"/>
    <w:rsid w:val="00707EE2"/>
    <w:rsid w:val="00710651"/>
    <w:rsid w:val="00710C47"/>
    <w:rsid w:val="00710CE7"/>
    <w:rsid w:val="007111EB"/>
    <w:rsid w:val="00712170"/>
    <w:rsid w:val="00712669"/>
    <w:rsid w:val="00712F89"/>
    <w:rsid w:val="007136CA"/>
    <w:rsid w:val="007138A8"/>
    <w:rsid w:val="007138E0"/>
    <w:rsid w:val="00713B6A"/>
    <w:rsid w:val="00713E9F"/>
    <w:rsid w:val="0071406A"/>
    <w:rsid w:val="00714128"/>
    <w:rsid w:val="007142CF"/>
    <w:rsid w:val="00714857"/>
    <w:rsid w:val="00714EBD"/>
    <w:rsid w:val="007152F6"/>
    <w:rsid w:val="007164AD"/>
    <w:rsid w:val="00717C9C"/>
    <w:rsid w:val="00720667"/>
    <w:rsid w:val="007220CA"/>
    <w:rsid w:val="007224A3"/>
    <w:rsid w:val="00723592"/>
    <w:rsid w:val="0072396D"/>
    <w:rsid w:val="00724246"/>
    <w:rsid w:val="00724F0F"/>
    <w:rsid w:val="0072582C"/>
    <w:rsid w:val="007269F1"/>
    <w:rsid w:val="00727551"/>
    <w:rsid w:val="007301F2"/>
    <w:rsid w:val="00731A28"/>
    <w:rsid w:val="007322D8"/>
    <w:rsid w:val="007326FE"/>
    <w:rsid w:val="00732AED"/>
    <w:rsid w:val="00732CCB"/>
    <w:rsid w:val="007331EA"/>
    <w:rsid w:val="007332CB"/>
    <w:rsid w:val="00733AB2"/>
    <w:rsid w:val="00733E99"/>
    <w:rsid w:val="00735E55"/>
    <w:rsid w:val="007369AA"/>
    <w:rsid w:val="00736CFD"/>
    <w:rsid w:val="00736FAA"/>
    <w:rsid w:val="00737422"/>
    <w:rsid w:val="0073754B"/>
    <w:rsid w:val="0073762E"/>
    <w:rsid w:val="00740827"/>
    <w:rsid w:val="00740914"/>
    <w:rsid w:val="00740BDC"/>
    <w:rsid w:val="00741040"/>
    <w:rsid w:val="0074130B"/>
    <w:rsid w:val="007416F5"/>
    <w:rsid w:val="00741808"/>
    <w:rsid w:val="00741D25"/>
    <w:rsid w:val="00741E5F"/>
    <w:rsid w:val="00743CDA"/>
    <w:rsid w:val="00744662"/>
    <w:rsid w:val="007454A6"/>
    <w:rsid w:val="00746924"/>
    <w:rsid w:val="00746B32"/>
    <w:rsid w:val="00747C4E"/>
    <w:rsid w:val="007502AA"/>
    <w:rsid w:val="0075033A"/>
    <w:rsid w:val="00750868"/>
    <w:rsid w:val="00750FB6"/>
    <w:rsid w:val="0075110A"/>
    <w:rsid w:val="00752CE2"/>
    <w:rsid w:val="00753227"/>
    <w:rsid w:val="00753E67"/>
    <w:rsid w:val="00753FB6"/>
    <w:rsid w:val="00754293"/>
    <w:rsid w:val="007548D2"/>
    <w:rsid w:val="00755DFA"/>
    <w:rsid w:val="007561E7"/>
    <w:rsid w:val="00756CBD"/>
    <w:rsid w:val="00756F29"/>
    <w:rsid w:val="007573D9"/>
    <w:rsid w:val="00757855"/>
    <w:rsid w:val="00757951"/>
    <w:rsid w:val="0076047E"/>
    <w:rsid w:val="0076057C"/>
    <w:rsid w:val="00761436"/>
    <w:rsid w:val="007615B3"/>
    <w:rsid w:val="00761C1F"/>
    <w:rsid w:val="00761E56"/>
    <w:rsid w:val="00762822"/>
    <w:rsid w:val="00762BD3"/>
    <w:rsid w:val="0076346F"/>
    <w:rsid w:val="0076446D"/>
    <w:rsid w:val="00764AF0"/>
    <w:rsid w:val="00764F18"/>
    <w:rsid w:val="0076541E"/>
    <w:rsid w:val="00765BF3"/>
    <w:rsid w:val="00765D38"/>
    <w:rsid w:val="00766543"/>
    <w:rsid w:val="00767522"/>
    <w:rsid w:val="00767DA7"/>
    <w:rsid w:val="00770056"/>
    <w:rsid w:val="00770095"/>
    <w:rsid w:val="00770430"/>
    <w:rsid w:val="0077114F"/>
    <w:rsid w:val="007717D1"/>
    <w:rsid w:val="00772196"/>
    <w:rsid w:val="00772F0E"/>
    <w:rsid w:val="00773A86"/>
    <w:rsid w:val="00773AFA"/>
    <w:rsid w:val="00773B47"/>
    <w:rsid w:val="00773BA1"/>
    <w:rsid w:val="00773E7E"/>
    <w:rsid w:val="007758C0"/>
    <w:rsid w:val="00775B52"/>
    <w:rsid w:val="00775EBF"/>
    <w:rsid w:val="00777391"/>
    <w:rsid w:val="00777401"/>
    <w:rsid w:val="007777C8"/>
    <w:rsid w:val="00777979"/>
    <w:rsid w:val="0077797C"/>
    <w:rsid w:val="007804DD"/>
    <w:rsid w:val="00780BB7"/>
    <w:rsid w:val="007812A3"/>
    <w:rsid w:val="0078272F"/>
    <w:rsid w:val="0078396E"/>
    <w:rsid w:val="00784991"/>
    <w:rsid w:val="00785757"/>
    <w:rsid w:val="007859EA"/>
    <w:rsid w:val="00785AAA"/>
    <w:rsid w:val="00785B67"/>
    <w:rsid w:val="007864E3"/>
    <w:rsid w:val="00786641"/>
    <w:rsid w:val="00786E31"/>
    <w:rsid w:val="00786EB2"/>
    <w:rsid w:val="00787A4D"/>
    <w:rsid w:val="0079013C"/>
    <w:rsid w:val="007918AB"/>
    <w:rsid w:val="00791EAC"/>
    <w:rsid w:val="00792680"/>
    <w:rsid w:val="00792737"/>
    <w:rsid w:val="0079380B"/>
    <w:rsid w:val="00793B0E"/>
    <w:rsid w:val="00794733"/>
    <w:rsid w:val="0079496F"/>
    <w:rsid w:val="00794FE2"/>
    <w:rsid w:val="0079547C"/>
    <w:rsid w:val="00795487"/>
    <w:rsid w:val="0079568F"/>
    <w:rsid w:val="00795BF1"/>
    <w:rsid w:val="00796152"/>
    <w:rsid w:val="007964E1"/>
    <w:rsid w:val="00796F84"/>
    <w:rsid w:val="007973CF"/>
    <w:rsid w:val="007A07A2"/>
    <w:rsid w:val="007A1D62"/>
    <w:rsid w:val="007A23F5"/>
    <w:rsid w:val="007A268F"/>
    <w:rsid w:val="007A301B"/>
    <w:rsid w:val="007A307A"/>
    <w:rsid w:val="007A3218"/>
    <w:rsid w:val="007A4761"/>
    <w:rsid w:val="007A4FA0"/>
    <w:rsid w:val="007A5214"/>
    <w:rsid w:val="007A5648"/>
    <w:rsid w:val="007A564D"/>
    <w:rsid w:val="007A57AE"/>
    <w:rsid w:val="007A5B83"/>
    <w:rsid w:val="007A5DBD"/>
    <w:rsid w:val="007A611F"/>
    <w:rsid w:val="007A650F"/>
    <w:rsid w:val="007A7361"/>
    <w:rsid w:val="007B0353"/>
    <w:rsid w:val="007B06E5"/>
    <w:rsid w:val="007B1D96"/>
    <w:rsid w:val="007B270B"/>
    <w:rsid w:val="007B2730"/>
    <w:rsid w:val="007B3684"/>
    <w:rsid w:val="007B3D3A"/>
    <w:rsid w:val="007B4460"/>
    <w:rsid w:val="007B55F0"/>
    <w:rsid w:val="007B6DB9"/>
    <w:rsid w:val="007B6E00"/>
    <w:rsid w:val="007C043C"/>
    <w:rsid w:val="007C04D9"/>
    <w:rsid w:val="007C072A"/>
    <w:rsid w:val="007C094C"/>
    <w:rsid w:val="007C0A9E"/>
    <w:rsid w:val="007C0B81"/>
    <w:rsid w:val="007C0E5B"/>
    <w:rsid w:val="007C112E"/>
    <w:rsid w:val="007C1506"/>
    <w:rsid w:val="007C1876"/>
    <w:rsid w:val="007C1C08"/>
    <w:rsid w:val="007C219C"/>
    <w:rsid w:val="007C2D3B"/>
    <w:rsid w:val="007C2DCC"/>
    <w:rsid w:val="007C3D02"/>
    <w:rsid w:val="007C3D1D"/>
    <w:rsid w:val="007C41FD"/>
    <w:rsid w:val="007C4295"/>
    <w:rsid w:val="007C4391"/>
    <w:rsid w:val="007C526A"/>
    <w:rsid w:val="007C6C2D"/>
    <w:rsid w:val="007C71C0"/>
    <w:rsid w:val="007C78B5"/>
    <w:rsid w:val="007D0025"/>
    <w:rsid w:val="007D1D9A"/>
    <w:rsid w:val="007D205F"/>
    <w:rsid w:val="007D2398"/>
    <w:rsid w:val="007D314D"/>
    <w:rsid w:val="007D3B42"/>
    <w:rsid w:val="007D4D2A"/>
    <w:rsid w:val="007D4F44"/>
    <w:rsid w:val="007D4F4B"/>
    <w:rsid w:val="007D5679"/>
    <w:rsid w:val="007D5C26"/>
    <w:rsid w:val="007D65C1"/>
    <w:rsid w:val="007D708C"/>
    <w:rsid w:val="007D71A6"/>
    <w:rsid w:val="007D79EB"/>
    <w:rsid w:val="007D7D4B"/>
    <w:rsid w:val="007E003A"/>
    <w:rsid w:val="007E0C0E"/>
    <w:rsid w:val="007E12DA"/>
    <w:rsid w:val="007E1A56"/>
    <w:rsid w:val="007E1E20"/>
    <w:rsid w:val="007E2CB3"/>
    <w:rsid w:val="007E2D5D"/>
    <w:rsid w:val="007E35B4"/>
    <w:rsid w:val="007E3921"/>
    <w:rsid w:val="007E43F5"/>
    <w:rsid w:val="007E54A5"/>
    <w:rsid w:val="007E57B1"/>
    <w:rsid w:val="007E60C9"/>
    <w:rsid w:val="007E630A"/>
    <w:rsid w:val="007E66D2"/>
    <w:rsid w:val="007E6DB9"/>
    <w:rsid w:val="007E6E7E"/>
    <w:rsid w:val="007E784F"/>
    <w:rsid w:val="007F15F6"/>
    <w:rsid w:val="007F16A7"/>
    <w:rsid w:val="007F2CE7"/>
    <w:rsid w:val="007F3196"/>
    <w:rsid w:val="007F328B"/>
    <w:rsid w:val="007F3357"/>
    <w:rsid w:val="007F3BCD"/>
    <w:rsid w:val="007F4081"/>
    <w:rsid w:val="007F5ACB"/>
    <w:rsid w:val="007F5C9F"/>
    <w:rsid w:val="007F6072"/>
    <w:rsid w:val="007F66C6"/>
    <w:rsid w:val="007F6E40"/>
    <w:rsid w:val="007F72CB"/>
    <w:rsid w:val="00800D90"/>
    <w:rsid w:val="008010E0"/>
    <w:rsid w:val="0080117D"/>
    <w:rsid w:val="008012B7"/>
    <w:rsid w:val="00801388"/>
    <w:rsid w:val="00801ECC"/>
    <w:rsid w:val="00802A34"/>
    <w:rsid w:val="00803481"/>
    <w:rsid w:val="0080388C"/>
    <w:rsid w:val="00803B9B"/>
    <w:rsid w:val="00804C68"/>
    <w:rsid w:val="00806DC8"/>
    <w:rsid w:val="00807790"/>
    <w:rsid w:val="00807CC7"/>
    <w:rsid w:val="008102B4"/>
    <w:rsid w:val="00811313"/>
    <w:rsid w:val="00812218"/>
    <w:rsid w:val="008128D1"/>
    <w:rsid w:val="0081335E"/>
    <w:rsid w:val="008136F7"/>
    <w:rsid w:val="00813C3D"/>
    <w:rsid w:val="008144D8"/>
    <w:rsid w:val="00814988"/>
    <w:rsid w:val="00815001"/>
    <w:rsid w:val="008160C2"/>
    <w:rsid w:val="00816CB9"/>
    <w:rsid w:val="00820595"/>
    <w:rsid w:val="00820B59"/>
    <w:rsid w:val="008212AA"/>
    <w:rsid w:val="00821652"/>
    <w:rsid w:val="00821A7B"/>
    <w:rsid w:val="00821CDD"/>
    <w:rsid w:val="008237E2"/>
    <w:rsid w:val="00823F49"/>
    <w:rsid w:val="00824172"/>
    <w:rsid w:val="008249A7"/>
    <w:rsid w:val="00824BD0"/>
    <w:rsid w:val="0082504D"/>
    <w:rsid w:val="008258BB"/>
    <w:rsid w:val="00826169"/>
    <w:rsid w:val="00826388"/>
    <w:rsid w:val="008266A5"/>
    <w:rsid w:val="00826D7A"/>
    <w:rsid w:val="00827541"/>
    <w:rsid w:val="00827542"/>
    <w:rsid w:val="008319A8"/>
    <w:rsid w:val="008323D6"/>
    <w:rsid w:val="008324A1"/>
    <w:rsid w:val="00832D5A"/>
    <w:rsid w:val="00833BD2"/>
    <w:rsid w:val="0083441E"/>
    <w:rsid w:val="00834B19"/>
    <w:rsid w:val="00835A5D"/>
    <w:rsid w:val="00835F02"/>
    <w:rsid w:val="00836760"/>
    <w:rsid w:val="008378A8"/>
    <w:rsid w:val="00837AAD"/>
    <w:rsid w:val="00837F0A"/>
    <w:rsid w:val="00837FEC"/>
    <w:rsid w:val="0084042C"/>
    <w:rsid w:val="008406AA"/>
    <w:rsid w:val="008410AE"/>
    <w:rsid w:val="008411C1"/>
    <w:rsid w:val="0084157A"/>
    <w:rsid w:val="008422C7"/>
    <w:rsid w:val="00843132"/>
    <w:rsid w:val="008435DC"/>
    <w:rsid w:val="00843F5B"/>
    <w:rsid w:val="008443B5"/>
    <w:rsid w:val="00844512"/>
    <w:rsid w:val="00844CB3"/>
    <w:rsid w:val="0084553F"/>
    <w:rsid w:val="00846049"/>
    <w:rsid w:val="008464E5"/>
    <w:rsid w:val="00846BF8"/>
    <w:rsid w:val="00847E67"/>
    <w:rsid w:val="008501B0"/>
    <w:rsid w:val="00850660"/>
    <w:rsid w:val="00850B1C"/>
    <w:rsid w:val="00850EA6"/>
    <w:rsid w:val="00852D01"/>
    <w:rsid w:val="0085375F"/>
    <w:rsid w:val="0085378C"/>
    <w:rsid w:val="00855742"/>
    <w:rsid w:val="00855E28"/>
    <w:rsid w:val="008560C6"/>
    <w:rsid w:val="008562CC"/>
    <w:rsid w:val="008564B0"/>
    <w:rsid w:val="00857D51"/>
    <w:rsid w:val="00857FAB"/>
    <w:rsid w:val="008606DB"/>
    <w:rsid w:val="00861A3E"/>
    <w:rsid w:val="00861B18"/>
    <w:rsid w:val="00861B86"/>
    <w:rsid w:val="0086227A"/>
    <w:rsid w:val="00863B7E"/>
    <w:rsid w:val="00864979"/>
    <w:rsid w:val="00864AA2"/>
    <w:rsid w:val="008656B9"/>
    <w:rsid w:val="00865822"/>
    <w:rsid w:val="0086613E"/>
    <w:rsid w:val="00866316"/>
    <w:rsid w:val="008669D3"/>
    <w:rsid w:val="008679F4"/>
    <w:rsid w:val="0087106A"/>
    <w:rsid w:val="008720BD"/>
    <w:rsid w:val="008732F7"/>
    <w:rsid w:val="00874474"/>
    <w:rsid w:val="008748EB"/>
    <w:rsid w:val="00874C70"/>
    <w:rsid w:val="00874EBC"/>
    <w:rsid w:val="008754DB"/>
    <w:rsid w:val="008756CD"/>
    <w:rsid w:val="008757EC"/>
    <w:rsid w:val="00875932"/>
    <w:rsid w:val="0087610A"/>
    <w:rsid w:val="00876359"/>
    <w:rsid w:val="00876800"/>
    <w:rsid w:val="0087693A"/>
    <w:rsid w:val="00876ABF"/>
    <w:rsid w:val="008802BA"/>
    <w:rsid w:val="008806FD"/>
    <w:rsid w:val="0088174E"/>
    <w:rsid w:val="00881ADD"/>
    <w:rsid w:val="00881BE3"/>
    <w:rsid w:val="00882357"/>
    <w:rsid w:val="008829C2"/>
    <w:rsid w:val="00883C2E"/>
    <w:rsid w:val="00883D8B"/>
    <w:rsid w:val="00883E42"/>
    <w:rsid w:val="0088402D"/>
    <w:rsid w:val="00884433"/>
    <w:rsid w:val="00884708"/>
    <w:rsid w:val="00884A33"/>
    <w:rsid w:val="00885331"/>
    <w:rsid w:val="008864CB"/>
    <w:rsid w:val="00887740"/>
    <w:rsid w:val="00887BB6"/>
    <w:rsid w:val="00890709"/>
    <w:rsid w:val="00891552"/>
    <w:rsid w:val="00892B52"/>
    <w:rsid w:val="008930C4"/>
    <w:rsid w:val="00893739"/>
    <w:rsid w:val="008939C4"/>
    <w:rsid w:val="00893AFE"/>
    <w:rsid w:val="00893C8B"/>
    <w:rsid w:val="00894933"/>
    <w:rsid w:val="00894E6A"/>
    <w:rsid w:val="00895309"/>
    <w:rsid w:val="0089541A"/>
    <w:rsid w:val="008956D1"/>
    <w:rsid w:val="00895A0D"/>
    <w:rsid w:val="00895B52"/>
    <w:rsid w:val="0089655F"/>
    <w:rsid w:val="008972C9"/>
    <w:rsid w:val="00897811"/>
    <w:rsid w:val="00897EDC"/>
    <w:rsid w:val="008A01AF"/>
    <w:rsid w:val="008A035B"/>
    <w:rsid w:val="008A0BC3"/>
    <w:rsid w:val="008A14ED"/>
    <w:rsid w:val="008A1CC6"/>
    <w:rsid w:val="008A3BC5"/>
    <w:rsid w:val="008A3F67"/>
    <w:rsid w:val="008A4633"/>
    <w:rsid w:val="008A4B8D"/>
    <w:rsid w:val="008A58FA"/>
    <w:rsid w:val="008A5AA7"/>
    <w:rsid w:val="008A6261"/>
    <w:rsid w:val="008A68BD"/>
    <w:rsid w:val="008A6D64"/>
    <w:rsid w:val="008A741A"/>
    <w:rsid w:val="008A7FE9"/>
    <w:rsid w:val="008B0288"/>
    <w:rsid w:val="008B0F6F"/>
    <w:rsid w:val="008B1374"/>
    <w:rsid w:val="008B1E6F"/>
    <w:rsid w:val="008B208F"/>
    <w:rsid w:val="008B2107"/>
    <w:rsid w:val="008B263A"/>
    <w:rsid w:val="008B2AA6"/>
    <w:rsid w:val="008B2E97"/>
    <w:rsid w:val="008B3141"/>
    <w:rsid w:val="008B3592"/>
    <w:rsid w:val="008B45DF"/>
    <w:rsid w:val="008B5AAF"/>
    <w:rsid w:val="008B742B"/>
    <w:rsid w:val="008B75EB"/>
    <w:rsid w:val="008B7B37"/>
    <w:rsid w:val="008B7BF3"/>
    <w:rsid w:val="008C23A0"/>
    <w:rsid w:val="008C2587"/>
    <w:rsid w:val="008C3115"/>
    <w:rsid w:val="008C32B5"/>
    <w:rsid w:val="008C336D"/>
    <w:rsid w:val="008C60C7"/>
    <w:rsid w:val="008C614C"/>
    <w:rsid w:val="008C63A0"/>
    <w:rsid w:val="008C720D"/>
    <w:rsid w:val="008C74F7"/>
    <w:rsid w:val="008C7BEB"/>
    <w:rsid w:val="008C7C6A"/>
    <w:rsid w:val="008D0E92"/>
    <w:rsid w:val="008D1210"/>
    <w:rsid w:val="008D28A1"/>
    <w:rsid w:val="008D2B31"/>
    <w:rsid w:val="008D2F1D"/>
    <w:rsid w:val="008D3B5E"/>
    <w:rsid w:val="008D3D0E"/>
    <w:rsid w:val="008D3F44"/>
    <w:rsid w:val="008D51F0"/>
    <w:rsid w:val="008D58D3"/>
    <w:rsid w:val="008D5E8F"/>
    <w:rsid w:val="008D62B6"/>
    <w:rsid w:val="008D68A3"/>
    <w:rsid w:val="008D6E76"/>
    <w:rsid w:val="008E01FD"/>
    <w:rsid w:val="008E0B96"/>
    <w:rsid w:val="008E0C28"/>
    <w:rsid w:val="008E1EB3"/>
    <w:rsid w:val="008E2640"/>
    <w:rsid w:val="008E26E8"/>
    <w:rsid w:val="008E2A1D"/>
    <w:rsid w:val="008E3418"/>
    <w:rsid w:val="008E3C7A"/>
    <w:rsid w:val="008E3E70"/>
    <w:rsid w:val="008E622B"/>
    <w:rsid w:val="008E654D"/>
    <w:rsid w:val="008E6615"/>
    <w:rsid w:val="008E6799"/>
    <w:rsid w:val="008E7148"/>
    <w:rsid w:val="008E71C0"/>
    <w:rsid w:val="008E78FB"/>
    <w:rsid w:val="008F0082"/>
    <w:rsid w:val="008F01BC"/>
    <w:rsid w:val="008F0478"/>
    <w:rsid w:val="008F0726"/>
    <w:rsid w:val="008F11D3"/>
    <w:rsid w:val="008F162D"/>
    <w:rsid w:val="008F1A4E"/>
    <w:rsid w:val="008F2164"/>
    <w:rsid w:val="008F2AF9"/>
    <w:rsid w:val="008F37DD"/>
    <w:rsid w:val="008F3BCD"/>
    <w:rsid w:val="008F4328"/>
    <w:rsid w:val="008F4F1A"/>
    <w:rsid w:val="008F5548"/>
    <w:rsid w:val="008F5642"/>
    <w:rsid w:val="008F7441"/>
    <w:rsid w:val="008F7D3D"/>
    <w:rsid w:val="009003AF"/>
    <w:rsid w:val="009007E4"/>
    <w:rsid w:val="0090087E"/>
    <w:rsid w:val="009009F1"/>
    <w:rsid w:val="0090108D"/>
    <w:rsid w:val="00901092"/>
    <w:rsid w:val="009016C5"/>
    <w:rsid w:val="009016E8"/>
    <w:rsid w:val="00901BF2"/>
    <w:rsid w:val="00902403"/>
    <w:rsid w:val="009024F4"/>
    <w:rsid w:val="00902FA9"/>
    <w:rsid w:val="00903104"/>
    <w:rsid w:val="009032EB"/>
    <w:rsid w:val="0090380D"/>
    <w:rsid w:val="0090389B"/>
    <w:rsid w:val="00906BBE"/>
    <w:rsid w:val="0090748B"/>
    <w:rsid w:val="00907C94"/>
    <w:rsid w:val="0091006A"/>
    <w:rsid w:val="0091053E"/>
    <w:rsid w:val="00911D12"/>
    <w:rsid w:val="00911FFB"/>
    <w:rsid w:val="00912969"/>
    <w:rsid w:val="00912CE8"/>
    <w:rsid w:val="00913175"/>
    <w:rsid w:val="00913DF7"/>
    <w:rsid w:val="00914157"/>
    <w:rsid w:val="00914436"/>
    <w:rsid w:val="00914A09"/>
    <w:rsid w:val="0091566F"/>
    <w:rsid w:val="00915766"/>
    <w:rsid w:val="00916667"/>
    <w:rsid w:val="00917426"/>
    <w:rsid w:val="00917847"/>
    <w:rsid w:val="00917858"/>
    <w:rsid w:val="0092062B"/>
    <w:rsid w:val="0092077B"/>
    <w:rsid w:val="00920BA5"/>
    <w:rsid w:val="00920BF6"/>
    <w:rsid w:val="00920C4B"/>
    <w:rsid w:val="0092118D"/>
    <w:rsid w:val="00922A29"/>
    <w:rsid w:val="00922B82"/>
    <w:rsid w:val="00923003"/>
    <w:rsid w:val="009233B6"/>
    <w:rsid w:val="00923A83"/>
    <w:rsid w:val="0092430C"/>
    <w:rsid w:val="009246DC"/>
    <w:rsid w:val="00924AD3"/>
    <w:rsid w:val="0092506D"/>
    <w:rsid w:val="00925C75"/>
    <w:rsid w:val="0092662B"/>
    <w:rsid w:val="00926BDC"/>
    <w:rsid w:val="00926FB5"/>
    <w:rsid w:val="009275F9"/>
    <w:rsid w:val="00927913"/>
    <w:rsid w:val="00927B09"/>
    <w:rsid w:val="00930A42"/>
    <w:rsid w:val="009313ED"/>
    <w:rsid w:val="009313FA"/>
    <w:rsid w:val="00931ABC"/>
    <w:rsid w:val="00931C87"/>
    <w:rsid w:val="00932357"/>
    <w:rsid w:val="00932F40"/>
    <w:rsid w:val="0093365B"/>
    <w:rsid w:val="00933A16"/>
    <w:rsid w:val="00934B1D"/>
    <w:rsid w:val="009353F4"/>
    <w:rsid w:val="009355F7"/>
    <w:rsid w:val="00935D27"/>
    <w:rsid w:val="00935F51"/>
    <w:rsid w:val="00936367"/>
    <w:rsid w:val="00936707"/>
    <w:rsid w:val="009368D8"/>
    <w:rsid w:val="009374BC"/>
    <w:rsid w:val="00937600"/>
    <w:rsid w:val="00937A38"/>
    <w:rsid w:val="00937E2F"/>
    <w:rsid w:val="0094019B"/>
    <w:rsid w:val="00940CC5"/>
    <w:rsid w:val="00941D57"/>
    <w:rsid w:val="0094370A"/>
    <w:rsid w:val="00943772"/>
    <w:rsid w:val="009442E0"/>
    <w:rsid w:val="0094439E"/>
    <w:rsid w:val="009449B1"/>
    <w:rsid w:val="00944B35"/>
    <w:rsid w:val="00945029"/>
    <w:rsid w:val="009450CB"/>
    <w:rsid w:val="009459E8"/>
    <w:rsid w:val="009468E2"/>
    <w:rsid w:val="00946BA6"/>
    <w:rsid w:val="0094759F"/>
    <w:rsid w:val="00947C52"/>
    <w:rsid w:val="00947E28"/>
    <w:rsid w:val="00951709"/>
    <w:rsid w:val="00952005"/>
    <w:rsid w:val="00952586"/>
    <w:rsid w:val="009535FB"/>
    <w:rsid w:val="00953633"/>
    <w:rsid w:val="00953923"/>
    <w:rsid w:val="00954B16"/>
    <w:rsid w:val="00955101"/>
    <w:rsid w:val="00955770"/>
    <w:rsid w:val="00955B6B"/>
    <w:rsid w:val="00955BD6"/>
    <w:rsid w:val="00957596"/>
    <w:rsid w:val="009577BB"/>
    <w:rsid w:val="00961888"/>
    <w:rsid w:val="00962273"/>
    <w:rsid w:val="00962D75"/>
    <w:rsid w:val="00962FF3"/>
    <w:rsid w:val="0096314D"/>
    <w:rsid w:val="00963786"/>
    <w:rsid w:val="00963992"/>
    <w:rsid w:val="00963A45"/>
    <w:rsid w:val="00964438"/>
    <w:rsid w:val="00964B10"/>
    <w:rsid w:val="00964F86"/>
    <w:rsid w:val="0096546D"/>
    <w:rsid w:val="00965993"/>
    <w:rsid w:val="00965FB2"/>
    <w:rsid w:val="00966114"/>
    <w:rsid w:val="009665F3"/>
    <w:rsid w:val="0096665D"/>
    <w:rsid w:val="0096676F"/>
    <w:rsid w:val="009676C6"/>
    <w:rsid w:val="00970345"/>
    <w:rsid w:val="0097045F"/>
    <w:rsid w:val="0097122A"/>
    <w:rsid w:val="00971524"/>
    <w:rsid w:val="00971808"/>
    <w:rsid w:val="009727FE"/>
    <w:rsid w:val="00972DEA"/>
    <w:rsid w:val="00972E88"/>
    <w:rsid w:val="0097308F"/>
    <w:rsid w:val="0097323A"/>
    <w:rsid w:val="00973810"/>
    <w:rsid w:val="00973B99"/>
    <w:rsid w:val="00974B7B"/>
    <w:rsid w:val="00975AB6"/>
    <w:rsid w:val="009773A7"/>
    <w:rsid w:val="009778CA"/>
    <w:rsid w:val="00977CD9"/>
    <w:rsid w:val="00980345"/>
    <w:rsid w:val="0098044A"/>
    <w:rsid w:val="009804F4"/>
    <w:rsid w:val="00981350"/>
    <w:rsid w:val="009813F6"/>
    <w:rsid w:val="0098172D"/>
    <w:rsid w:val="009819E2"/>
    <w:rsid w:val="00982808"/>
    <w:rsid w:val="009836EE"/>
    <w:rsid w:val="009837A5"/>
    <w:rsid w:val="00983834"/>
    <w:rsid w:val="00984657"/>
    <w:rsid w:val="0098537A"/>
    <w:rsid w:val="00985B5C"/>
    <w:rsid w:val="00985D82"/>
    <w:rsid w:val="0098671B"/>
    <w:rsid w:val="00986DEF"/>
    <w:rsid w:val="009870E4"/>
    <w:rsid w:val="009871BB"/>
    <w:rsid w:val="009876D5"/>
    <w:rsid w:val="00990A27"/>
    <w:rsid w:val="00990A84"/>
    <w:rsid w:val="00992152"/>
    <w:rsid w:val="0099267D"/>
    <w:rsid w:val="009927F4"/>
    <w:rsid w:val="00992846"/>
    <w:rsid w:val="009928D8"/>
    <w:rsid w:val="00992A5A"/>
    <w:rsid w:val="00992C44"/>
    <w:rsid w:val="009932C2"/>
    <w:rsid w:val="0099353B"/>
    <w:rsid w:val="00993DD0"/>
    <w:rsid w:val="009941E6"/>
    <w:rsid w:val="00994A65"/>
    <w:rsid w:val="00994BAA"/>
    <w:rsid w:val="00994BED"/>
    <w:rsid w:val="009954DC"/>
    <w:rsid w:val="009966B3"/>
    <w:rsid w:val="0099691A"/>
    <w:rsid w:val="009978D3"/>
    <w:rsid w:val="009A0845"/>
    <w:rsid w:val="009A087A"/>
    <w:rsid w:val="009A108D"/>
    <w:rsid w:val="009A13EA"/>
    <w:rsid w:val="009A1513"/>
    <w:rsid w:val="009A16F6"/>
    <w:rsid w:val="009A2096"/>
    <w:rsid w:val="009A244A"/>
    <w:rsid w:val="009A2B41"/>
    <w:rsid w:val="009A36C4"/>
    <w:rsid w:val="009A5A17"/>
    <w:rsid w:val="009A5DA5"/>
    <w:rsid w:val="009A61C9"/>
    <w:rsid w:val="009A6231"/>
    <w:rsid w:val="009A66D3"/>
    <w:rsid w:val="009A7028"/>
    <w:rsid w:val="009A7A5D"/>
    <w:rsid w:val="009A7A91"/>
    <w:rsid w:val="009A7C3F"/>
    <w:rsid w:val="009A7ECD"/>
    <w:rsid w:val="009B0222"/>
    <w:rsid w:val="009B0439"/>
    <w:rsid w:val="009B0AA0"/>
    <w:rsid w:val="009B0B4B"/>
    <w:rsid w:val="009B0D42"/>
    <w:rsid w:val="009B2919"/>
    <w:rsid w:val="009B2EA5"/>
    <w:rsid w:val="009B4404"/>
    <w:rsid w:val="009B4D4C"/>
    <w:rsid w:val="009B5D75"/>
    <w:rsid w:val="009B6985"/>
    <w:rsid w:val="009B6C33"/>
    <w:rsid w:val="009B70AA"/>
    <w:rsid w:val="009B7548"/>
    <w:rsid w:val="009B763A"/>
    <w:rsid w:val="009B797D"/>
    <w:rsid w:val="009B7E91"/>
    <w:rsid w:val="009C0AA8"/>
    <w:rsid w:val="009C135B"/>
    <w:rsid w:val="009C25FE"/>
    <w:rsid w:val="009C2726"/>
    <w:rsid w:val="009C2960"/>
    <w:rsid w:val="009C3A1B"/>
    <w:rsid w:val="009C3E49"/>
    <w:rsid w:val="009C3E8C"/>
    <w:rsid w:val="009C405A"/>
    <w:rsid w:val="009C433D"/>
    <w:rsid w:val="009C46D8"/>
    <w:rsid w:val="009C4F55"/>
    <w:rsid w:val="009C4F9A"/>
    <w:rsid w:val="009C5ACE"/>
    <w:rsid w:val="009C6183"/>
    <w:rsid w:val="009C67D1"/>
    <w:rsid w:val="009C76C3"/>
    <w:rsid w:val="009C7796"/>
    <w:rsid w:val="009C7C00"/>
    <w:rsid w:val="009C7C44"/>
    <w:rsid w:val="009C7D96"/>
    <w:rsid w:val="009C7E14"/>
    <w:rsid w:val="009D1A7B"/>
    <w:rsid w:val="009D1C0D"/>
    <w:rsid w:val="009D2AB4"/>
    <w:rsid w:val="009D2C4F"/>
    <w:rsid w:val="009D35CE"/>
    <w:rsid w:val="009D38BC"/>
    <w:rsid w:val="009D3BDF"/>
    <w:rsid w:val="009D3BF7"/>
    <w:rsid w:val="009D3F10"/>
    <w:rsid w:val="009D4316"/>
    <w:rsid w:val="009D4AE1"/>
    <w:rsid w:val="009D4B3F"/>
    <w:rsid w:val="009D5029"/>
    <w:rsid w:val="009D592A"/>
    <w:rsid w:val="009D699F"/>
    <w:rsid w:val="009D6E33"/>
    <w:rsid w:val="009D720A"/>
    <w:rsid w:val="009D7351"/>
    <w:rsid w:val="009D7A56"/>
    <w:rsid w:val="009D7BF5"/>
    <w:rsid w:val="009D7E46"/>
    <w:rsid w:val="009E0132"/>
    <w:rsid w:val="009E0263"/>
    <w:rsid w:val="009E0293"/>
    <w:rsid w:val="009E0480"/>
    <w:rsid w:val="009E04F2"/>
    <w:rsid w:val="009E1A75"/>
    <w:rsid w:val="009E292F"/>
    <w:rsid w:val="009E2AB9"/>
    <w:rsid w:val="009E3439"/>
    <w:rsid w:val="009E3442"/>
    <w:rsid w:val="009E3AE2"/>
    <w:rsid w:val="009E40EA"/>
    <w:rsid w:val="009E41F5"/>
    <w:rsid w:val="009E440B"/>
    <w:rsid w:val="009E4F2D"/>
    <w:rsid w:val="009E5B62"/>
    <w:rsid w:val="009E5D4D"/>
    <w:rsid w:val="009E6D01"/>
    <w:rsid w:val="009E7354"/>
    <w:rsid w:val="009E7464"/>
    <w:rsid w:val="009E74EE"/>
    <w:rsid w:val="009E79DA"/>
    <w:rsid w:val="009F013F"/>
    <w:rsid w:val="009F02A1"/>
    <w:rsid w:val="009F1DDB"/>
    <w:rsid w:val="009F2527"/>
    <w:rsid w:val="009F2CD8"/>
    <w:rsid w:val="009F31BC"/>
    <w:rsid w:val="009F31C9"/>
    <w:rsid w:val="009F36EE"/>
    <w:rsid w:val="009F374F"/>
    <w:rsid w:val="009F3A25"/>
    <w:rsid w:val="009F517C"/>
    <w:rsid w:val="009F5DE3"/>
    <w:rsid w:val="009F67A3"/>
    <w:rsid w:val="009F7049"/>
    <w:rsid w:val="009F7E96"/>
    <w:rsid w:val="009F7F70"/>
    <w:rsid w:val="00A003A1"/>
    <w:rsid w:val="00A0090B"/>
    <w:rsid w:val="00A00FC6"/>
    <w:rsid w:val="00A016CF"/>
    <w:rsid w:val="00A0194A"/>
    <w:rsid w:val="00A0251C"/>
    <w:rsid w:val="00A0540A"/>
    <w:rsid w:val="00A05460"/>
    <w:rsid w:val="00A06A35"/>
    <w:rsid w:val="00A075BF"/>
    <w:rsid w:val="00A0783E"/>
    <w:rsid w:val="00A07FD7"/>
    <w:rsid w:val="00A101B0"/>
    <w:rsid w:val="00A10D0C"/>
    <w:rsid w:val="00A10DFE"/>
    <w:rsid w:val="00A10E4F"/>
    <w:rsid w:val="00A112D4"/>
    <w:rsid w:val="00A11BC0"/>
    <w:rsid w:val="00A12E0A"/>
    <w:rsid w:val="00A130B1"/>
    <w:rsid w:val="00A13722"/>
    <w:rsid w:val="00A13F88"/>
    <w:rsid w:val="00A148C5"/>
    <w:rsid w:val="00A14AC8"/>
    <w:rsid w:val="00A14E04"/>
    <w:rsid w:val="00A14EE6"/>
    <w:rsid w:val="00A15051"/>
    <w:rsid w:val="00A15077"/>
    <w:rsid w:val="00A1521D"/>
    <w:rsid w:val="00A1540B"/>
    <w:rsid w:val="00A1560E"/>
    <w:rsid w:val="00A17A14"/>
    <w:rsid w:val="00A17D19"/>
    <w:rsid w:val="00A17FFC"/>
    <w:rsid w:val="00A20389"/>
    <w:rsid w:val="00A2083F"/>
    <w:rsid w:val="00A223AF"/>
    <w:rsid w:val="00A224B8"/>
    <w:rsid w:val="00A226A5"/>
    <w:rsid w:val="00A22CC4"/>
    <w:rsid w:val="00A237AA"/>
    <w:rsid w:val="00A241B9"/>
    <w:rsid w:val="00A2453E"/>
    <w:rsid w:val="00A25245"/>
    <w:rsid w:val="00A254EB"/>
    <w:rsid w:val="00A25701"/>
    <w:rsid w:val="00A264BF"/>
    <w:rsid w:val="00A27532"/>
    <w:rsid w:val="00A30000"/>
    <w:rsid w:val="00A302B5"/>
    <w:rsid w:val="00A31249"/>
    <w:rsid w:val="00A3156A"/>
    <w:rsid w:val="00A31947"/>
    <w:rsid w:val="00A34813"/>
    <w:rsid w:val="00A34EBA"/>
    <w:rsid w:val="00A34F7F"/>
    <w:rsid w:val="00A3504D"/>
    <w:rsid w:val="00A35E7E"/>
    <w:rsid w:val="00A360C9"/>
    <w:rsid w:val="00A36210"/>
    <w:rsid w:val="00A362F9"/>
    <w:rsid w:val="00A36E56"/>
    <w:rsid w:val="00A3763F"/>
    <w:rsid w:val="00A37686"/>
    <w:rsid w:val="00A378CC"/>
    <w:rsid w:val="00A37EB2"/>
    <w:rsid w:val="00A402AC"/>
    <w:rsid w:val="00A4072B"/>
    <w:rsid w:val="00A409D6"/>
    <w:rsid w:val="00A40A6B"/>
    <w:rsid w:val="00A40B85"/>
    <w:rsid w:val="00A40E5F"/>
    <w:rsid w:val="00A4164D"/>
    <w:rsid w:val="00A4179D"/>
    <w:rsid w:val="00A417AF"/>
    <w:rsid w:val="00A41868"/>
    <w:rsid w:val="00A41D9E"/>
    <w:rsid w:val="00A423DD"/>
    <w:rsid w:val="00A42636"/>
    <w:rsid w:val="00A42655"/>
    <w:rsid w:val="00A440F3"/>
    <w:rsid w:val="00A4424E"/>
    <w:rsid w:val="00A4467B"/>
    <w:rsid w:val="00A44D35"/>
    <w:rsid w:val="00A44E1D"/>
    <w:rsid w:val="00A4624C"/>
    <w:rsid w:val="00A464CA"/>
    <w:rsid w:val="00A50468"/>
    <w:rsid w:val="00A5063C"/>
    <w:rsid w:val="00A50644"/>
    <w:rsid w:val="00A50A8E"/>
    <w:rsid w:val="00A5140F"/>
    <w:rsid w:val="00A515C5"/>
    <w:rsid w:val="00A51AC4"/>
    <w:rsid w:val="00A523FB"/>
    <w:rsid w:val="00A52738"/>
    <w:rsid w:val="00A52957"/>
    <w:rsid w:val="00A53751"/>
    <w:rsid w:val="00A5387B"/>
    <w:rsid w:val="00A540C4"/>
    <w:rsid w:val="00A549D2"/>
    <w:rsid w:val="00A54A57"/>
    <w:rsid w:val="00A56164"/>
    <w:rsid w:val="00A56425"/>
    <w:rsid w:val="00A56847"/>
    <w:rsid w:val="00A56896"/>
    <w:rsid w:val="00A5704E"/>
    <w:rsid w:val="00A600F3"/>
    <w:rsid w:val="00A602F3"/>
    <w:rsid w:val="00A60B9D"/>
    <w:rsid w:val="00A610B7"/>
    <w:rsid w:val="00A617DA"/>
    <w:rsid w:val="00A61F3E"/>
    <w:rsid w:val="00A62316"/>
    <w:rsid w:val="00A62E4E"/>
    <w:rsid w:val="00A631FA"/>
    <w:rsid w:val="00A637B3"/>
    <w:rsid w:val="00A641CA"/>
    <w:rsid w:val="00A645EF"/>
    <w:rsid w:val="00A6597B"/>
    <w:rsid w:val="00A659E4"/>
    <w:rsid w:val="00A65C02"/>
    <w:rsid w:val="00A66535"/>
    <w:rsid w:val="00A669C8"/>
    <w:rsid w:val="00A67086"/>
    <w:rsid w:val="00A675B3"/>
    <w:rsid w:val="00A70E65"/>
    <w:rsid w:val="00A71CA7"/>
    <w:rsid w:val="00A7211A"/>
    <w:rsid w:val="00A74E41"/>
    <w:rsid w:val="00A760B1"/>
    <w:rsid w:val="00A76D59"/>
    <w:rsid w:val="00A77DD1"/>
    <w:rsid w:val="00A80439"/>
    <w:rsid w:val="00A80721"/>
    <w:rsid w:val="00A80E56"/>
    <w:rsid w:val="00A8117F"/>
    <w:rsid w:val="00A813B6"/>
    <w:rsid w:val="00A82528"/>
    <w:rsid w:val="00A8344D"/>
    <w:rsid w:val="00A83856"/>
    <w:rsid w:val="00A83B89"/>
    <w:rsid w:val="00A841C2"/>
    <w:rsid w:val="00A84678"/>
    <w:rsid w:val="00A84B5A"/>
    <w:rsid w:val="00A85096"/>
    <w:rsid w:val="00A851C6"/>
    <w:rsid w:val="00A86092"/>
    <w:rsid w:val="00A862BF"/>
    <w:rsid w:val="00A86303"/>
    <w:rsid w:val="00A86372"/>
    <w:rsid w:val="00A86D79"/>
    <w:rsid w:val="00A90413"/>
    <w:rsid w:val="00A90497"/>
    <w:rsid w:val="00A90AF5"/>
    <w:rsid w:val="00A90E09"/>
    <w:rsid w:val="00A910D3"/>
    <w:rsid w:val="00A9134D"/>
    <w:rsid w:val="00A9252C"/>
    <w:rsid w:val="00A92B9E"/>
    <w:rsid w:val="00A93AE0"/>
    <w:rsid w:val="00A946EE"/>
    <w:rsid w:val="00A94B7B"/>
    <w:rsid w:val="00A94CCD"/>
    <w:rsid w:val="00A950C2"/>
    <w:rsid w:val="00A95777"/>
    <w:rsid w:val="00A963DB"/>
    <w:rsid w:val="00A9714A"/>
    <w:rsid w:val="00A9780D"/>
    <w:rsid w:val="00A9790A"/>
    <w:rsid w:val="00A979F4"/>
    <w:rsid w:val="00A97A0C"/>
    <w:rsid w:val="00A97A40"/>
    <w:rsid w:val="00AA07DA"/>
    <w:rsid w:val="00AA28AA"/>
    <w:rsid w:val="00AA3113"/>
    <w:rsid w:val="00AA462D"/>
    <w:rsid w:val="00AA5336"/>
    <w:rsid w:val="00AA5356"/>
    <w:rsid w:val="00AA6DFD"/>
    <w:rsid w:val="00AB0103"/>
    <w:rsid w:val="00AB0614"/>
    <w:rsid w:val="00AB0DD8"/>
    <w:rsid w:val="00AB1091"/>
    <w:rsid w:val="00AB16C3"/>
    <w:rsid w:val="00AB2850"/>
    <w:rsid w:val="00AB2B13"/>
    <w:rsid w:val="00AB2DF4"/>
    <w:rsid w:val="00AB37CE"/>
    <w:rsid w:val="00AB3BA9"/>
    <w:rsid w:val="00AB3C61"/>
    <w:rsid w:val="00AB4659"/>
    <w:rsid w:val="00AB4732"/>
    <w:rsid w:val="00AB4DF1"/>
    <w:rsid w:val="00AB558E"/>
    <w:rsid w:val="00AB5F84"/>
    <w:rsid w:val="00AB6196"/>
    <w:rsid w:val="00AB702E"/>
    <w:rsid w:val="00AB79B5"/>
    <w:rsid w:val="00AB7B37"/>
    <w:rsid w:val="00AC05D8"/>
    <w:rsid w:val="00AC0AAA"/>
    <w:rsid w:val="00AC1387"/>
    <w:rsid w:val="00AC1BF7"/>
    <w:rsid w:val="00AC26DC"/>
    <w:rsid w:val="00AC3534"/>
    <w:rsid w:val="00AC38E0"/>
    <w:rsid w:val="00AC40A6"/>
    <w:rsid w:val="00AC45A5"/>
    <w:rsid w:val="00AC4908"/>
    <w:rsid w:val="00AC53A7"/>
    <w:rsid w:val="00AC58CB"/>
    <w:rsid w:val="00AC5E11"/>
    <w:rsid w:val="00AC6A50"/>
    <w:rsid w:val="00AC7499"/>
    <w:rsid w:val="00AC762F"/>
    <w:rsid w:val="00AD00E1"/>
    <w:rsid w:val="00AD0557"/>
    <w:rsid w:val="00AD1C00"/>
    <w:rsid w:val="00AD24A5"/>
    <w:rsid w:val="00AD2CFF"/>
    <w:rsid w:val="00AD3560"/>
    <w:rsid w:val="00AD4347"/>
    <w:rsid w:val="00AD5DD3"/>
    <w:rsid w:val="00AD6665"/>
    <w:rsid w:val="00AD6807"/>
    <w:rsid w:val="00AD7574"/>
    <w:rsid w:val="00AD7A4D"/>
    <w:rsid w:val="00AE04FF"/>
    <w:rsid w:val="00AE0A45"/>
    <w:rsid w:val="00AE0CFA"/>
    <w:rsid w:val="00AE100E"/>
    <w:rsid w:val="00AE10B1"/>
    <w:rsid w:val="00AE1A01"/>
    <w:rsid w:val="00AE1A4C"/>
    <w:rsid w:val="00AE1C9D"/>
    <w:rsid w:val="00AE1D0A"/>
    <w:rsid w:val="00AE1ECF"/>
    <w:rsid w:val="00AE2609"/>
    <w:rsid w:val="00AE29F4"/>
    <w:rsid w:val="00AE2AB6"/>
    <w:rsid w:val="00AE2B43"/>
    <w:rsid w:val="00AE3435"/>
    <w:rsid w:val="00AE393C"/>
    <w:rsid w:val="00AE3F9C"/>
    <w:rsid w:val="00AE40E0"/>
    <w:rsid w:val="00AE4DCD"/>
    <w:rsid w:val="00AE5A82"/>
    <w:rsid w:val="00AE66F7"/>
    <w:rsid w:val="00AE722E"/>
    <w:rsid w:val="00AF0003"/>
    <w:rsid w:val="00AF0512"/>
    <w:rsid w:val="00AF05BC"/>
    <w:rsid w:val="00AF07DE"/>
    <w:rsid w:val="00AF0AFA"/>
    <w:rsid w:val="00AF152B"/>
    <w:rsid w:val="00AF1851"/>
    <w:rsid w:val="00AF32A7"/>
    <w:rsid w:val="00AF3353"/>
    <w:rsid w:val="00AF3575"/>
    <w:rsid w:val="00AF36CD"/>
    <w:rsid w:val="00AF418F"/>
    <w:rsid w:val="00AF4A15"/>
    <w:rsid w:val="00AF4D4E"/>
    <w:rsid w:val="00AF4FA7"/>
    <w:rsid w:val="00AF5129"/>
    <w:rsid w:val="00AF5149"/>
    <w:rsid w:val="00AF5767"/>
    <w:rsid w:val="00AF57D3"/>
    <w:rsid w:val="00AF59E0"/>
    <w:rsid w:val="00AF5C63"/>
    <w:rsid w:val="00AF6374"/>
    <w:rsid w:val="00AF6B2C"/>
    <w:rsid w:val="00AF6B9C"/>
    <w:rsid w:val="00AF6D30"/>
    <w:rsid w:val="00AF7087"/>
    <w:rsid w:val="00AF7563"/>
    <w:rsid w:val="00B0022F"/>
    <w:rsid w:val="00B018CA"/>
    <w:rsid w:val="00B02046"/>
    <w:rsid w:val="00B03D40"/>
    <w:rsid w:val="00B04231"/>
    <w:rsid w:val="00B0444E"/>
    <w:rsid w:val="00B04635"/>
    <w:rsid w:val="00B050B3"/>
    <w:rsid w:val="00B05614"/>
    <w:rsid w:val="00B056BA"/>
    <w:rsid w:val="00B05946"/>
    <w:rsid w:val="00B05DB8"/>
    <w:rsid w:val="00B05E05"/>
    <w:rsid w:val="00B06A81"/>
    <w:rsid w:val="00B06C7B"/>
    <w:rsid w:val="00B0736C"/>
    <w:rsid w:val="00B0739E"/>
    <w:rsid w:val="00B07747"/>
    <w:rsid w:val="00B07E9C"/>
    <w:rsid w:val="00B07EE2"/>
    <w:rsid w:val="00B100A4"/>
    <w:rsid w:val="00B10862"/>
    <w:rsid w:val="00B10D53"/>
    <w:rsid w:val="00B110C1"/>
    <w:rsid w:val="00B112D5"/>
    <w:rsid w:val="00B12FE2"/>
    <w:rsid w:val="00B1484B"/>
    <w:rsid w:val="00B14888"/>
    <w:rsid w:val="00B14D27"/>
    <w:rsid w:val="00B15A4B"/>
    <w:rsid w:val="00B15DF0"/>
    <w:rsid w:val="00B15EF6"/>
    <w:rsid w:val="00B16934"/>
    <w:rsid w:val="00B16F47"/>
    <w:rsid w:val="00B17689"/>
    <w:rsid w:val="00B20F65"/>
    <w:rsid w:val="00B20FCB"/>
    <w:rsid w:val="00B2170B"/>
    <w:rsid w:val="00B21719"/>
    <w:rsid w:val="00B222A1"/>
    <w:rsid w:val="00B225AD"/>
    <w:rsid w:val="00B22E42"/>
    <w:rsid w:val="00B22FED"/>
    <w:rsid w:val="00B230CD"/>
    <w:rsid w:val="00B23652"/>
    <w:rsid w:val="00B236E1"/>
    <w:rsid w:val="00B23F4A"/>
    <w:rsid w:val="00B2466E"/>
    <w:rsid w:val="00B24A71"/>
    <w:rsid w:val="00B2680D"/>
    <w:rsid w:val="00B26B38"/>
    <w:rsid w:val="00B27229"/>
    <w:rsid w:val="00B2731B"/>
    <w:rsid w:val="00B27633"/>
    <w:rsid w:val="00B30ADC"/>
    <w:rsid w:val="00B31C4C"/>
    <w:rsid w:val="00B320CA"/>
    <w:rsid w:val="00B32BB8"/>
    <w:rsid w:val="00B32ECC"/>
    <w:rsid w:val="00B33746"/>
    <w:rsid w:val="00B3374C"/>
    <w:rsid w:val="00B3485D"/>
    <w:rsid w:val="00B34E7E"/>
    <w:rsid w:val="00B350F1"/>
    <w:rsid w:val="00B36644"/>
    <w:rsid w:val="00B36F20"/>
    <w:rsid w:val="00B370F1"/>
    <w:rsid w:val="00B3759C"/>
    <w:rsid w:val="00B40EF5"/>
    <w:rsid w:val="00B41430"/>
    <w:rsid w:val="00B41C53"/>
    <w:rsid w:val="00B41E17"/>
    <w:rsid w:val="00B42234"/>
    <w:rsid w:val="00B429E7"/>
    <w:rsid w:val="00B43802"/>
    <w:rsid w:val="00B4382B"/>
    <w:rsid w:val="00B45767"/>
    <w:rsid w:val="00B45897"/>
    <w:rsid w:val="00B461E6"/>
    <w:rsid w:val="00B463CC"/>
    <w:rsid w:val="00B46967"/>
    <w:rsid w:val="00B4725B"/>
    <w:rsid w:val="00B47391"/>
    <w:rsid w:val="00B4789F"/>
    <w:rsid w:val="00B50F36"/>
    <w:rsid w:val="00B51166"/>
    <w:rsid w:val="00B51535"/>
    <w:rsid w:val="00B5157C"/>
    <w:rsid w:val="00B5160F"/>
    <w:rsid w:val="00B51785"/>
    <w:rsid w:val="00B52159"/>
    <w:rsid w:val="00B521C2"/>
    <w:rsid w:val="00B52373"/>
    <w:rsid w:val="00B52763"/>
    <w:rsid w:val="00B52DC5"/>
    <w:rsid w:val="00B533F3"/>
    <w:rsid w:val="00B54780"/>
    <w:rsid w:val="00B55572"/>
    <w:rsid w:val="00B55F62"/>
    <w:rsid w:val="00B55FEF"/>
    <w:rsid w:val="00B56C32"/>
    <w:rsid w:val="00B57321"/>
    <w:rsid w:val="00B60A97"/>
    <w:rsid w:val="00B613D2"/>
    <w:rsid w:val="00B61C3C"/>
    <w:rsid w:val="00B625F7"/>
    <w:rsid w:val="00B638F3"/>
    <w:rsid w:val="00B6415E"/>
    <w:rsid w:val="00B648E4"/>
    <w:rsid w:val="00B649AD"/>
    <w:rsid w:val="00B64BAF"/>
    <w:rsid w:val="00B64CB5"/>
    <w:rsid w:val="00B650B1"/>
    <w:rsid w:val="00B655C4"/>
    <w:rsid w:val="00B67E03"/>
    <w:rsid w:val="00B67E0C"/>
    <w:rsid w:val="00B70A67"/>
    <w:rsid w:val="00B70BB5"/>
    <w:rsid w:val="00B71686"/>
    <w:rsid w:val="00B73A18"/>
    <w:rsid w:val="00B74CC8"/>
    <w:rsid w:val="00B74DF7"/>
    <w:rsid w:val="00B74F63"/>
    <w:rsid w:val="00B756AC"/>
    <w:rsid w:val="00B75CB9"/>
    <w:rsid w:val="00B763EC"/>
    <w:rsid w:val="00B76AB2"/>
    <w:rsid w:val="00B770D8"/>
    <w:rsid w:val="00B77C8F"/>
    <w:rsid w:val="00B77CFE"/>
    <w:rsid w:val="00B77FFD"/>
    <w:rsid w:val="00B8004E"/>
    <w:rsid w:val="00B8063A"/>
    <w:rsid w:val="00B8088B"/>
    <w:rsid w:val="00B80DA9"/>
    <w:rsid w:val="00B811BD"/>
    <w:rsid w:val="00B8172A"/>
    <w:rsid w:val="00B81E50"/>
    <w:rsid w:val="00B82367"/>
    <w:rsid w:val="00B8285D"/>
    <w:rsid w:val="00B82B41"/>
    <w:rsid w:val="00B83560"/>
    <w:rsid w:val="00B844E7"/>
    <w:rsid w:val="00B84C1E"/>
    <w:rsid w:val="00B856C0"/>
    <w:rsid w:val="00B85D05"/>
    <w:rsid w:val="00B872D3"/>
    <w:rsid w:val="00B87825"/>
    <w:rsid w:val="00B87B5E"/>
    <w:rsid w:val="00B87ECD"/>
    <w:rsid w:val="00B912E7"/>
    <w:rsid w:val="00B929DB"/>
    <w:rsid w:val="00B92EA8"/>
    <w:rsid w:val="00B9313D"/>
    <w:rsid w:val="00B932F0"/>
    <w:rsid w:val="00B93A02"/>
    <w:rsid w:val="00B9467F"/>
    <w:rsid w:val="00B94C51"/>
    <w:rsid w:val="00B95852"/>
    <w:rsid w:val="00B95D80"/>
    <w:rsid w:val="00B9622C"/>
    <w:rsid w:val="00B9694B"/>
    <w:rsid w:val="00B97123"/>
    <w:rsid w:val="00B97195"/>
    <w:rsid w:val="00B973E8"/>
    <w:rsid w:val="00B97E5F"/>
    <w:rsid w:val="00B97FC8"/>
    <w:rsid w:val="00BA120D"/>
    <w:rsid w:val="00BA3431"/>
    <w:rsid w:val="00BA35F1"/>
    <w:rsid w:val="00BA5A74"/>
    <w:rsid w:val="00BA5F53"/>
    <w:rsid w:val="00BA6818"/>
    <w:rsid w:val="00BA766E"/>
    <w:rsid w:val="00BA7B30"/>
    <w:rsid w:val="00BB011A"/>
    <w:rsid w:val="00BB050D"/>
    <w:rsid w:val="00BB121A"/>
    <w:rsid w:val="00BB15AE"/>
    <w:rsid w:val="00BB1B29"/>
    <w:rsid w:val="00BB1B72"/>
    <w:rsid w:val="00BB27E7"/>
    <w:rsid w:val="00BB289C"/>
    <w:rsid w:val="00BB2C05"/>
    <w:rsid w:val="00BB2D11"/>
    <w:rsid w:val="00BB2F07"/>
    <w:rsid w:val="00BB3309"/>
    <w:rsid w:val="00BB343E"/>
    <w:rsid w:val="00BB3D15"/>
    <w:rsid w:val="00BB4435"/>
    <w:rsid w:val="00BB46FD"/>
    <w:rsid w:val="00BB4704"/>
    <w:rsid w:val="00BB542D"/>
    <w:rsid w:val="00BB5923"/>
    <w:rsid w:val="00BB5DA5"/>
    <w:rsid w:val="00BB644E"/>
    <w:rsid w:val="00BB6561"/>
    <w:rsid w:val="00BB693B"/>
    <w:rsid w:val="00BB77CB"/>
    <w:rsid w:val="00BC04A1"/>
    <w:rsid w:val="00BC123B"/>
    <w:rsid w:val="00BC1503"/>
    <w:rsid w:val="00BC1B4D"/>
    <w:rsid w:val="00BC25EF"/>
    <w:rsid w:val="00BC293E"/>
    <w:rsid w:val="00BC3361"/>
    <w:rsid w:val="00BC34FE"/>
    <w:rsid w:val="00BC3875"/>
    <w:rsid w:val="00BC39D1"/>
    <w:rsid w:val="00BC3BF1"/>
    <w:rsid w:val="00BC3D35"/>
    <w:rsid w:val="00BC40E7"/>
    <w:rsid w:val="00BC4524"/>
    <w:rsid w:val="00BC5C86"/>
    <w:rsid w:val="00BC68A2"/>
    <w:rsid w:val="00BC76F8"/>
    <w:rsid w:val="00BC7D3D"/>
    <w:rsid w:val="00BC7E54"/>
    <w:rsid w:val="00BD1040"/>
    <w:rsid w:val="00BD17BA"/>
    <w:rsid w:val="00BD2082"/>
    <w:rsid w:val="00BD28C3"/>
    <w:rsid w:val="00BD2BB9"/>
    <w:rsid w:val="00BD33DA"/>
    <w:rsid w:val="00BD3FF0"/>
    <w:rsid w:val="00BD410A"/>
    <w:rsid w:val="00BD4406"/>
    <w:rsid w:val="00BD48FD"/>
    <w:rsid w:val="00BD5EC1"/>
    <w:rsid w:val="00BD63F5"/>
    <w:rsid w:val="00BD75C5"/>
    <w:rsid w:val="00BE072F"/>
    <w:rsid w:val="00BE11CC"/>
    <w:rsid w:val="00BE1B12"/>
    <w:rsid w:val="00BE2174"/>
    <w:rsid w:val="00BE25A1"/>
    <w:rsid w:val="00BE28BF"/>
    <w:rsid w:val="00BE2C2B"/>
    <w:rsid w:val="00BE2EEB"/>
    <w:rsid w:val="00BE3A9A"/>
    <w:rsid w:val="00BE47F4"/>
    <w:rsid w:val="00BE4EA3"/>
    <w:rsid w:val="00BE6EF9"/>
    <w:rsid w:val="00BE7081"/>
    <w:rsid w:val="00BE733A"/>
    <w:rsid w:val="00BF02F9"/>
    <w:rsid w:val="00BF0FA9"/>
    <w:rsid w:val="00BF1A0C"/>
    <w:rsid w:val="00BF22A2"/>
    <w:rsid w:val="00BF2591"/>
    <w:rsid w:val="00BF25C6"/>
    <w:rsid w:val="00BF279B"/>
    <w:rsid w:val="00BF2B72"/>
    <w:rsid w:val="00BF3185"/>
    <w:rsid w:val="00BF3712"/>
    <w:rsid w:val="00BF3CFA"/>
    <w:rsid w:val="00BF4E54"/>
    <w:rsid w:val="00BF56EA"/>
    <w:rsid w:val="00BF5B0F"/>
    <w:rsid w:val="00BF62CA"/>
    <w:rsid w:val="00BF65C2"/>
    <w:rsid w:val="00BF6766"/>
    <w:rsid w:val="00BF69D0"/>
    <w:rsid w:val="00BF6D74"/>
    <w:rsid w:val="00BF750B"/>
    <w:rsid w:val="00BF77F8"/>
    <w:rsid w:val="00BF7946"/>
    <w:rsid w:val="00BF7FC3"/>
    <w:rsid w:val="00C00115"/>
    <w:rsid w:val="00C00588"/>
    <w:rsid w:val="00C01016"/>
    <w:rsid w:val="00C010E1"/>
    <w:rsid w:val="00C01782"/>
    <w:rsid w:val="00C020C1"/>
    <w:rsid w:val="00C0215A"/>
    <w:rsid w:val="00C02391"/>
    <w:rsid w:val="00C02F20"/>
    <w:rsid w:val="00C041B6"/>
    <w:rsid w:val="00C048CE"/>
    <w:rsid w:val="00C050B5"/>
    <w:rsid w:val="00C05224"/>
    <w:rsid w:val="00C057AB"/>
    <w:rsid w:val="00C05F24"/>
    <w:rsid w:val="00C0602A"/>
    <w:rsid w:val="00C0743E"/>
    <w:rsid w:val="00C10420"/>
    <w:rsid w:val="00C11C07"/>
    <w:rsid w:val="00C121E0"/>
    <w:rsid w:val="00C12CD1"/>
    <w:rsid w:val="00C13363"/>
    <w:rsid w:val="00C13424"/>
    <w:rsid w:val="00C138F6"/>
    <w:rsid w:val="00C13E50"/>
    <w:rsid w:val="00C148E1"/>
    <w:rsid w:val="00C149BE"/>
    <w:rsid w:val="00C149E8"/>
    <w:rsid w:val="00C14CFA"/>
    <w:rsid w:val="00C14F25"/>
    <w:rsid w:val="00C173AF"/>
    <w:rsid w:val="00C17522"/>
    <w:rsid w:val="00C1764C"/>
    <w:rsid w:val="00C22A34"/>
    <w:rsid w:val="00C22D54"/>
    <w:rsid w:val="00C22E57"/>
    <w:rsid w:val="00C23CA6"/>
    <w:rsid w:val="00C23DFF"/>
    <w:rsid w:val="00C23F41"/>
    <w:rsid w:val="00C24815"/>
    <w:rsid w:val="00C25497"/>
    <w:rsid w:val="00C25EEA"/>
    <w:rsid w:val="00C26FE8"/>
    <w:rsid w:val="00C27123"/>
    <w:rsid w:val="00C2762E"/>
    <w:rsid w:val="00C2774B"/>
    <w:rsid w:val="00C27891"/>
    <w:rsid w:val="00C27B57"/>
    <w:rsid w:val="00C30987"/>
    <w:rsid w:val="00C30EF5"/>
    <w:rsid w:val="00C31197"/>
    <w:rsid w:val="00C31623"/>
    <w:rsid w:val="00C3188F"/>
    <w:rsid w:val="00C319A1"/>
    <w:rsid w:val="00C31BFF"/>
    <w:rsid w:val="00C32307"/>
    <w:rsid w:val="00C3260A"/>
    <w:rsid w:val="00C32713"/>
    <w:rsid w:val="00C32ABF"/>
    <w:rsid w:val="00C333CA"/>
    <w:rsid w:val="00C33CF7"/>
    <w:rsid w:val="00C33DC9"/>
    <w:rsid w:val="00C33E73"/>
    <w:rsid w:val="00C35904"/>
    <w:rsid w:val="00C3608B"/>
    <w:rsid w:val="00C362BB"/>
    <w:rsid w:val="00C36AC5"/>
    <w:rsid w:val="00C36C6B"/>
    <w:rsid w:val="00C37044"/>
    <w:rsid w:val="00C378CC"/>
    <w:rsid w:val="00C40E10"/>
    <w:rsid w:val="00C4115B"/>
    <w:rsid w:val="00C415E5"/>
    <w:rsid w:val="00C419C8"/>
    <w:rsid w:val="00C41A71"/>
    <w:rsid w:val="00C42404"/>
    <w:rsid w:val="00C432FC"/>
    <w:rsid w:val="00C43E48"/>
    <w:rsid w:val="00C43FBA"/>
    <w:rsid w:val="00C44A25"/>
    <w:rsid w:val="00C44BA7"/>
    <w:rsid w:val="00C44E5E"/>
    <w:rsid w:val="00C45318"/>
    <w:rsid w:val="00C45797"/>
    <w:rsid w:val="00C457CF"/>
    <w:rsid w:val="00C45B4A"/>
    <w:rsid w:val="00C45DB3"/>
    <w:rsid w:val="00C47E09"/>
    <w:rsid w:val="00C50580"/>
    <w:rsid w:val="00C50AC9"/>
    <w:rsid w:val="00C50E7D"/>
    <w:rsid w:val="00C51981"/>
    <w:rsid w:val="00C523EC"/>
    <w:rsid w:val="00C5248A"/>
    <w:rsid w:val="00C526D6"/>
    <w:rsid w:val="00C52CC1"/>
    <w:rsid w:val="00C530B7"/>
    <w:rsid w:val="00C5354F"/>
    <w:rsid w:val="00C53858"/>
    <w:rsid w:val="00C54408"/>
    <w:rsid w:val="00C551B0"/>
    <w:rsid w:val="00C56C16"/>
    <w:rsid w:val="00C56C46"/>
    <w:rsid w:val="00C573E1"/>
    <w:rsid w:val="00C57665"/>
    <w:rsid w:val="00C57A4E"/>
    <w:rsid w:val="00C57F51"/>
    <w:rsid w:val="00C605AC"/>
    <w:rsid w:val="00C61797"/>
    <w:rsid w:val="00C625FF"/>
    <w:rsid w:val="00C64E0B"/>
    <w:rsid w:val="00C6529B"/>
    <w:rsid w:val="00C65C3C"/>
    <w:rsid w:val="00C668BD"/>
    <w:rsid w:val="00C6778E"/>
    <w:rsid w:val="00C707F5"/>
    <w:rsid w:val="00C70FD1"/>
    <w:rsid w:val="00C71519"/>
    <w:rsid w:val="00C715A0"/>
    <w:rsid w:val="00C72797"/>
    <w:rsid w:val="00C72C2D"/>
    <w:rsid w:val="00C72E83"/>
    <w:rsid w:val="00C73025"/>
    <w:rsid w:val="00C73599"/>
    <w:rsid w:val="00C73EE6"/>
    <w:rsid w:val="00C75327"/>
    <w:rsid w:val="00C76308"/>
    <w:rsid w:val="00C76630"/>
    <w:rsid w:val="00C76AC3"/>
    <w:rsid w:val="00C76D03"/>
    <w:rsid w:val="00C770F5"/>
    <w:rsid w:val="00C7799C"/>
    <w:rsid w:val="00C8000F"/>
    <w:rsid w:val="00C80D9F"/>
    <w:rsid w:val="00C8198F"/>
    <w:rsid w:val="00C81B7D"/>
    <w:rsid w:val="00C85666"/>
    <w:rsid w:val="00C85DE3"/>
    <w:rsid w:val="00C86587"/>
    <w:rsid w:val="00C86D1F"/>
    <w:rsid w:val="00C8781A"/>
    <w:rsid w:val="00C878DC"/>
    <w:rsid w:val="00C91457"/>
    <w:rsid w:val="00C9165E"/>
    <w:rsid w:val="00C91B91"/>
    <w:rsid w:val="00C9284F"/>
    <w:rsid w:val="00C92A8A"/>
    <w:rsid w:val="00C94A05"/>
    <w:rsid w:val="00C94CDA"/>
    <w:rsid w:val="00C94E53"/>
    <w:rsid w:val="00C95369"/>
    <w:rsid w:val="00C968D7"/>
    <w:rsid w:val="00C96C5B"/>
    <w:rsid w:val="00C97A06"/>
    <w:rsid w:val="00C97A41"/>
    <w:rsid w:val="00C97D57"/>
    <w:rsid w:val="00CA088E"/>
    <w:rsid w:val="00CA1EB5"/>
    <w:rsid w:val="00CA211B"/>
    <w:rsid w:val="00CA2523"/>
    <w:rsid w:val="00CA258D"/>
    <w:rsid w:val="00CA3840"/>
    <w:rsid w:val="00CA3CD1"/>
    <w:rsid w:val="00CA3DC7"/>
    <w:rsid w:val="00CA3F1C"/>
    <w:rsid w:val="00CA55F6"/>
    <w:rsid w:val="00CA5801"/>
    <w:rsid w:val="00CA5BAD"/>
    <w:rsid w:val="00CA5F1A"/>
    <w:rsid w:val="00CA7093"/>
    <w:rsid w:val="00CA723B"/>
    <w:rsid w:val="00CA72A5"/>
    <w:rsid w:val="00CA72D4"/>
    <w:rsid w:val="00CB019A"/>
    <w:rsid w:val="00CB05EE"/>
    <w:rsid w:val="00CB09F7"/>
    <w:rsid w:val="00CB0E06"/>
    <w:rsid w:val="00CB135D"/>
    <w:rsid w:val="00CB2630"/>
    <w:rsid w:val="00CB2B0B"/>
    <w:rsid w:val="00CB3265"/>
    <w:rsid w:val="00CB48DC"/>
    <w:rsid w:val="00CB52D6"/>
    <w:rsid w:val="00CB552A"/>
    <w:rsid w:val="00CB5912"/>
    <w:rsid w:val="00CB59F4"/>
    <w:rsid w:val="00CB5EE6"/>
    <w:rsid w:val="00CB623E"/>
    <w:rsid w:val="00CB65ED"/>
    <w:rsid w:val="00CB7531"/>
    <w:rsid w:val="00CB7821"/>
    <w:rsid w:val="00CB78AF"/>
    <w:rsid w:val="00CC18D0"/>
    <w:rsid w:val="00CC1E25"/>
    <w:rsid w:val="00CC23FB"/>
    <w:rsid w:val="00CC30FD"/>
    <w:rsid w:val="00CC4629"/>
    <w:rsid w:val="00CC5589"/>
    <w:rsid w:val="00CC5CEE"/>
    <w:rsid w:val="00CC5DC3"/>
    <w:rsid w:val="00CC6605"/>
    <w:rsid w:val="00CC6AC3"/>
    <w:rsid w:val="00CC6B05"/>
    <w:rsid w:val="00CC6DC0"/>
    <w:rsid w:val="00CD04F0"/>
    <w:rsid w:val="00CD0C48"/>
    <w:rsid w:val="00CD2C91"/>
    <w:rsid w:val="00CD3045"/>
    <w:rsid w:val="00CD3210"/>
    <w:rsid w:val="00CD3ECE"/>
    <w:rsid w:val="00CD4735"/>
    <w:rsid w:val="00CD4EBA"/>
    <w:rsid w:val="00CD5099"/>
    <w:rsid w:val="00CD5A35"/>
    <w:rsid w:val="00CD66D6"/>
    <w:rsid w:val="00CD6D58"/>
    <w:rsid w:val="00CD738D"/>
    <w:rsid w:val="00CD79D3"/>
    <w:rsid w:val="00CD7B2E"/>
    <w:rsid w:val="00CE1468"/>
    <w:rsid w:val="00CE1517"/>
    <w:rsid w:val="00CE1740"/>
    <w:rsid w:val="00CE212E"/>
    <w:rsid w:val="00CE217D"/>
    <w:rsid w:val="00CE23EE"/>
    <w:rsid w:val="00CE2710"/>
    <w:rsid w:val="00CE286E"/>
    <w:rsid w:val="00CE466A"/>
    <w:rsid w:val="00CE4EF3"/>
    <w:rsid w:val="00CE5025"/>
    <w:rsid w:val="00CE55A1"/>
    <w:rsid w:val="00CE6162"/>
    <w:rsid w:val="00CE64BF"/>
    <w:rsid w:val="00CE6563"/>
    <w:rsid w:val="00CE6791"/>
    <w:rsid w:val="00CE6929"/>
    <w:rsid w:val="00CE7B0B"/>
    <w:rsid w:val="00CF0524"/>
    <w:rsid w:val="00CF078D"/>
    <w:rsid w:val="00CF08B3"/>
    <w:rsid w:val="00CF093A"/>
    <w:rsid w:val="00CF0EF1"/>
    <w:rsid w:val="00CF1921"/>
    <w:rsid w:val="00CF2788"/>
    <w:rsid w:val="00CF4230"/>
    <w:rsid w:val="00CF58D7"/>
    <w:rsid w:val="00CF5CFA"/>
    <w:rsid w:val="00CF5FC5"/>
    <w:rsid w:val="00CF75DD"/>
    <w:rsid w:val="00CF7926"/>
    <w:rsid w:val="00CF7F95"/>
    <w:rsid w:val="00D00292"/>
    <w:rsid w:val="00D008D9"/>
    <w:rsid w:val="00D00B7E"/>
    <w:rsid w:val="00D00EA1"/>
    <w:rsid w:val="00D00FD9"/>
    <w:rsid w:val="00D01C67"/>
    <w:rsid w:val="00D01FE5"/>
    <w:rsid w:val="00D02373"/>
    <w:rsid w:val="00D035F3"/>
    <w:rsid w:val="00D038C1"/>
    <w:rsid w:val="00D068E0"/>
    <w:rsid w:val="00D06D38"/>
    <w:rsid w:val="00D07DF3"/>
    <w:rsid w:val="00D07F71"/>
    <w:rsid w:val="00D106C7"/>
    <w:rsid w:val="00D106EC"/>
    <w:rsid w:val="00D109CF"/>
    <w:rsid w:val="00D10A0D"/>
    <w:rsid w:val="00D11ADE"/>
    <w:rsid w:val="00D12864"/>
    <w:rsid w:val="00D1377A"/>
    <w:rsid w:val="00D14C80"/>
    <w:rsid w:val="00D15123"/>
    <w:rsid w:val="00D15DDB"/>
    <w:rsid w:val="00D162C9"/>
    <w:rsid w:val="00D168BA"/>
    <w:rsid w:val="00D16AC9"/>
    <w:rsid w:val="00D16BFE"/>
    <w:rsid w:val="00D16CC8"/>
    <w:rsid w:val="00D216D2"/>
    <w:rsid w:val="00D2184F"/>
    <w:rsid w:val="00D218C6"/>
    <w:rsid w:val="00D21F5D"/>
    <w:rsid w:val="00D227A1"/>
    <w:rsid w:val="00D22C97"/>
    <w:rsid w:val="00D2306C"/>
    <w:rsid w:val="00D232AB"/>
    <w:rsid w:val="00D232BC"/>
    <w:rsid w:val="00D23308"/>
    <w:rsid w:val="00D24453"/>
    <w:rsid w:val="00D247DE"/>
    <w:rsid w:val="00D253F1"/>
    <w:rsid w:val="00D26486"/>
    <w:rsid w:val="00D26E33"/>
    <w:rsid w:val="00D276B7"/>
    <w:rsid w:val="00D27E7C"/>
    <w:rsid w:val="00D27F78"/>
    <w:rsid w:val="00D30658"/>
    <w:rsid w:val="00D314AB"/>
    <w:rsid w:val="00D31A4C"/>
    <w:rsid w:val="00D323F7"/>
    <w:rsid w:val="00D32580"/>
    <w:rsid w:val="00D32885"/>
    <w:rsid w:val="00D3300C"/>
    <w:rsid w:val="00D3361E"/>
    <w:rsid w:val="00D3502F"/>
    <w:rsid w:val="00D359FD"/>
    <w:rsid w:val="00D367DF"/>
    <w:rsid w:val="00D3689E"/>
    <w:rsid w:val="00D369E5"/>
    <w:rsid w:val="00D40DA8"/>
    <w:rsid w:val="00D41129"/>
    <w:rsid w:val="00D412CB"/>
    <w:rsid w:val="00D41929"/>
    <w:rsid w:val="00D42036"/>
    <w:rsid w:val="00D423CB"/>
    <w:rsid w:val="00D4283A"/>
    <w:rsid w:val="00D42DE6"/>
    <w:rsid w:val="00D43403"/>
    <w:rsid w:val="00D434D3"/>
    <w:rsid w:val="00D43EDB"/>
    <w:rsid w:val="00D46065"/>
    <w:rsid w:val="00D462FB"/>
    <w:rsid w:val="00D4653D"/>
    <w:rsid w:val="00D46A14"/>
    <w:rsid w:val="00D46D43"/>
    <w:rsid w:val="00D504A7"/>
    <w:rsid w:val="00D50860"/>
    <w:rsid w:val="00D50CB3"/>
    <w:rsid w:val="00D512D1"/>
    <w:rsid w:val="00D51598"/>
    <w:rsid w:val="00D51FB7"/>
    <w:rsid w:val="00D525A5"/>
    <w:rsid w:val="00D528BE"/>
    <w:rsid w:val="00D53112"/>
    <w:rsid w:val="00D54B98"/>
    <w:rsid w:val="00D55D2C"/>
    <w:rsid w:val="00D55F27"/>
    <w:rsid w:val="00D56CA9"/>
    <w:rsid w:val="00D571D0"/>
    <w:rsid w:val="00D573BE"/>
    <w:rsid w:val="00D57A26"/>
    <w:rsid w:val="00D6097A"/>
    <w:rsid w:val="00D60B43"/>
    <w:rsid w:val="00D61626"/>
    <w:rsid w:val="00D61C5F"/>
    <w:rsid w:val="00D61DE5"/>
    <w:rsid w:val="00D62B1C"/>
    <w:rsid w:val="00D63275"/>
    <w:rsid w:val="00D63E61"/>
    <w:rsid w:val="00D65146"/>
    <w:rsid w:val="00D65B3F"/>
    <w:rsid w:val="00D65EA4"/>
    <w:rsid w:val="00D65ECA"/>
    <w:rsid w:val="00D66075"/>
    <w:rsid w:val="00D6615F"/>
    <w:rsid w:val="00D66662"/>
    <w:rsid w:val="00D66773"/>
    <w:rsid w:val="00D671D7"/>
    <w:rsid w:val="00D67318"/>
    <w:rsid w:val="00D679A2"/>
    <w:rsid w:val="00D67BB4"/>
    <w:rsid w:val="00D7008C"/>
    <w:rsid w:val="00D70673"/>
    <w:rsid w:val="00D712A8"/>
    <w:rsid w:val="00D71903"/>
    <w:rsid w:val="00D71B26"/>
    <w:rsid w:val="00D72FFC"/>
    <w:rsid w:val="00D734A3"/>
    <w:rsid w:val="00D734BE"/>
    <w:rsid w:val="00D73674"/>
    <w:rsid w:val="00D738EC"/>
    <w:rsid w:val="00D73FE7"/>
    <w:rsid w:val="00D74BCE"/>
    <w:rsid w:val="00D754E2"/>
    <w:rsid w:val="00D75942"/>
    <w:rsid w:val="00D768AD"/>
    <w:rsid w:val="00D770DE"/>
    <w:rsid w:val="00D7764E"/>
    <w:rsid w:val="00D77C12"/>
    <w:rsid w:val="00D80C4D"/>
    <w:rsid w:val="00D80F26"/>
    <w:rsid w:val="00D816D2"/>
    <w:rsid w:val="00D8373D"/>
    <w:rsid w:val="00D83E7D"/>
    <w:rsid w:val="00D83FC1"/>
    <w:rsid w:val="00D84A56"/>
    <w:rsid w:val="00D858D4"/>
    <w:rsid w:val="00D85940"/>
    <w:rsid w:val="00D85AA5"/>
    <w:rsid w:val="00D85AB1"/>
    <w:rsid w:val="00D85C8A"/>
    <w:rsid w:val="00D875E8"/>
    <w:rsid w:val="00D87B3B"/>
    <w:rsid w:val="00D91CB6"/>
    <w:rsid w:val="00D92E68"/>
    <w:rsid w:val="00D92FFA"/>
    <w:rsid w:val="00D933F9"/>
    <w:rsid w:val="00D93777"/>
    <w:rsid w:val="00D94C67"/>
    <w:rsid w:val="00D96674"/>
    <w:rsid w:val="00D96C90"/>
    <w:rsid w:val="00D97040"/>
    <w:rsid w:val="00D973AC"/>
    <w:rsid w:val="00D97F43"/>
    <w:rsid w:val="00DA0076"/>
    <w:rsid w:val="00DA0618"/>
    <w:rsid w:val="00DA0D7F"/>
    <w:rsid w:val="00DA1219"/>
    <w:rsid w:val="00DA12ED"/>
    <w:rsid w:val="00DA15BB"/>
    <w:rsid w:val="00DA26B4"/>
    <w:rsid w:val="00DA2FAB"/>
    <w:rsid w:val="00DA3030"/>
    <w:rsid w:val="00DA3154"/>
    <w:rsid w:val="00DA31DE"/>
    <w:rsid w:val="00DA3E14"/>
    <w:rsid w:val="00DA5115"/>
    <w:rsid w:val="00DA5281"/>
    <w:rsid w:val="00DA5B2B"/>
    <w:rsid w:val="00DA6B29"/>
    <w:rsid w:val="00DA741C"/>
    <w:rsid w:val="00DB050D"/>
    <w:rsid w:val="00DB0BDE"/>
    <w:rsid w:val="00DB0C1F"/>
    <w:rsid w:val="00DB1347"/>
    <w:rsid w:val="00DB18AB"/>
    <w:rsid w:val="00DB1E58"/>
    <w:rsid w:val="00DB2351"/>
    <w:rsid w:val="00DB2B18"/>
    <w:rsid w:val="00DB41CE"/>
    <w:rsid w:val="00DB4260"/>
    <w:rsid w:val="00DB4267"/>
    <w:rsid w:val="00DB4781"/>
    <w:rsid w:val="00DB4ACA"/>
    <w:rsid w:val="00DB4AE8"/>
    <w:rsid w:val="00DB4E04"/>
    <w:rsid w:val="00DB5730"/>
    <w:rsid w:val="00DB59AE"/>
    <w:rsid w:val="00DB6E5C"/>
    <w:rsid w:val="00DB74F9"/>
    <w:rsid w:val="00DB75D7"/>
    <w:rsid w:val="00DB79F9"/>
    <w:rsid w:val="00DC0215"/>
    <w:rsid w:val="00DC057F"/>
    <w:rsid w:val="00DC066E"/>
    <w:rsid w:val="00DC0ED3"/>
    <w:rsid w:val="00DC0F43"/>
    <w:rsid w:val="00DC1B00"/>
    <w:rsid w:val="00DC2941"/>
    <w:rsid w:val="00DC29AE"/>
    <w:rsid w:val="00DC2A61"/>
    <w:rsid w:val="00DC2AD9"/>
    <w:rsid w:val="00DC2CFF"/>
    <w:rsid w:val="00DC3120"/>
    <w:rsid w:val="00DC3415"/>
    <w:rsid w:val="00DC3AA5"/>
    <w:rsid w:val="00DC5200"/>
    <w:rsid w:val="00DC58B0"/>
    <w:rsid w:val="00DC5C7A"/>
    <w:rsid w:val="00DC6037"/>
    <w:rsid w:val="00DC6333"/>
    <w:rsid w:val="00DC64B1"/>
    <w:rsid w:val="00DC710E"/>
    <w:rsid w:val="00DD0268"/>
    <w:rsid w:val="00DD13F8"/>
    <w:rsid w:val="00DD17DD"/>
    <w:rsid w:val="00DD2791"/>
    <w:rsid w:val="00DD2B27"/>
    <w:rsid w:val="00DD30CC"/>
    <w:rsid w:val="00DD3BBB"/>
    <w:rsid w:val="00DD469D"/>
    <w:rsid w:val="00DD486E"/>
    <w:rsid w:val="00DD4EE8"/>
    <w:rsid w:val="00DD56ED"/>
    <w:rsid w:val="00DD57D6"/>
    <w:rsid w:val="00DD6A14"/>
    <w:rsid w:val="00DD6EF3"/>
    <w:rsid w:val="00DD7FEA"/>
    <w:rsid w:val="00DE059B"/>
    <w:rsid w:val="00DE0CDC"/>
    <w:rsid w:val="00DE1689"/>
    <w:rsid w:val="00DE1ED6"/>
    <w:rsid w:val="00DE1FAA"/>
    <w:rsid w:val="00DE268A"/>
    <w:rsid w:val="00DE2ADC"/>
    <w:rsid w:val="00DE35E9"/>
    <w:rsid w:val="00DE387B"/>
    <w:rsid w:val="00DE6148"/>
    <w:rsid w:val="00DE6B7F"/>
    <w:rsid w:val="00DE6DE1"/>
    <w:rsid w:val="00DE76F2"/>
    <w:rsid w:val="00DE79BC"/>
    <w:rsid w:val="00DF14E0"/>
    <w:rsid w:val="00DF1639"/>
    <w:rsid w:val="00DF1EA0"/>
    <w:rsid w:val="00DF1F92"/>
    <w:rsid w:val="00DF2A3E"/>
    <w:rsid w:val="00DF2D91"/>
    <w:rsid w:val="00DF2FF5"/>
    <w:rsid w:val="00DF30AD"/>
    <w:rsid w:val="00DF3E7A"/>
    <w:rsid w:val="00DF44C3"/>
    <w:rsid w:val="00DF492E"/>
    <w:rsid w:val="00DF4BFB"/>
    <w:rsid w:val="00DF5419"/>
    <w:rsid w:val="00DF57EE"/>
    <w:rsid w:val="00DF5D98"/>
    <w:rsid w:val="00DF5E80"/>
    <w:rsid w:val="00DF6254"/>
    <w:rsid w:val="00DF76C3"/>
    <w:rsid w:val="00DF7C14"/>
    <w:rsid w:val="00E0037A"/>
    <w:rsid w:val="00E004DC"/>
    <w:rsid w:val="00E004DF"/>
    <w:rsid w:val="00E00BA6"/>
    <w:rsid w:val="00E010BE"/>
    <w:rsid w:val="00E0118B"/>
    <w:rsid w:val="00E018E6"/>
    <w:rsid w:val="00E01B50"/>
    <w:rsid w:val="00E01DC6"/>
    <w:rsid w:val="00E01DD0"/>
    <w:rsid w:val="00E02C18"/>
    <w:rsid w:val="00E02F1B"/>
    <w:rsid w:val="00E031FE"/>
    <w:rsid w:val="00E03321"/>
    <w:rsid w:val="00E03346"/>
    <w:rsid w:val="00E04552"/>
    <w:rsid w:val="00E0521F"/>
    <w:rsid w:val="00E05413"/>
    <w:rsid w:val="00E05E56"/>
    <w:rsid w:val="00E064C4"/>
    <w:rsid w:val="00E075C1"/>
    <w:rsid w:val="00E07CAB"/>
    <w:rsid w:val="00E120E0"/>
    <w:rsid w:val="00E12AF2"/>
    <w:rsid w:val="00E1399D"/>
    <w:rsid w:val="00E13CF3"/>
    <w:rsid w:val="00E1412D"/>
    <w:rsid w:val="00E14496"/>
    <w:rsid w:val="00E145C9"/>
    <w:rsid w:val="00E14AB2"/>
    <w:rsid w:val="00E14E01"/>
    <w:rsid w:val="00E14E86"/>
    <w:rsid w:val="00E16A7C"/>
    <w:rsid w:val="00E16B7A"/>
    <w:rsid w:val="00E1709C"/>
    <w:rsid w:val="00E17488"/>
    <w:rsid w:val="00E17A06"/>
    <w:rsid w:val="00E17A7A"/>
    <w:rsid w:val="00E2013E"/>
    <w:rsid w:val="00E211C9"/>
    <w:rsid w:val="00E215C6"/>
    <w:rsid w:val="00E21DB6"/>
    <w:rsid w:val="00E22BE2"/>
    <w:rsid w:val="00E23495"/>
    <w:rsid w:val="00E23E0B"/>
    <w:rsid w:val="00E245BA"/>
    <w:rsid w:val="00E245F2"/>
    <w:rsid w:val="00E24E29"/>
    <w:rsid w:val="00E2547A"/>
    <w:rsid w:val="00E25949"/>
    <w:rsid w:val="00E259BD"/>
    <w:rsid w:val="00E262F0"/>
    <w:rsid w:val="00E2662E"/>
    <w:rsid w:val="00E2728C"/>
    <w:rsid w:val="00E27F54"/>
    <w:rsid w:val="00E31A5B"/>
    <w:rsid w:val="00E3259F"/>
    <w:rsid w:val="00E32B2E"/>
    <w:rsid w:val="00E334D3"/>
    <w:rsid w:val="00E338CA"/>
    <w:rsid w:val="00E34550"/>
    <w:rsid w:val="00E34817"/>
    <w:rsid w:val="00E349D6"/>
    <w:rsid w:val="00E3689D"/>
    <w:rsid w:val="00E36901"/>
    <w:rsid w:val="00E36B05"/>
    <w:rsid w:val="00E3712D"/>
    <w:rsid w:val="00E37322"/>
    <w:rsid w:val="00E37495"/>
    <w:rsid w:val="00E37DB0"/>
    <w:rsid w:val="00E40478"/>
    <w:rsid w:val="00E404B8"/>
    <w:rsid w:val="00E406A6"/>
    <w:rsid w:val="00E410F6"/>
    <w:rsid w:val="00E41286"/>
    <w:rsid w:val="00E4157A"/>
    <w:rsid w:val="00E417FA"/>
    <w:rsid w:val="00E41B4A"/>
    <w:rsid w:val="00E45A79"/>
    <w:rsid w:val="00E47412"/>
    <w:rsid w:val="00E478F2"/>
    <w:rsid w:val="00E502DE"/>
    <w:rsid w:val="00E5060B"/>
    <w:rsid w:val="00E50D86"/>
    <w:rsid w:val="00E50E33"/>
    <w:rsid w:val="00E510F5"/>
    <w:rsid w:val="00E517FA"/>
    <w:rsid w:val="00E523B6"/>
    <w:rsid w:val="00E52811"/>
    <w:rsid w:val="00E52ACE"/>
    <w:rsid w:val="00E52E2E"/>
    <w:rsid w:val="00E53596"/>
    <w:rsid w:val="00E54035"/>
    <w:rsid w:val="00E54561"/>
    <w:rsid w:val="00E557B9"/>
    <w:rsid w:val="00E55AE9"/>
    <w:rsid w:val="00E55AF0"/>
    <w:rsid w:val="00E55F68"/>
    <w:rsid w:val="00E56471"/>
    <w:rsid w:val="00E56FF7"/>
    <w:rsid w:val="00E5745B"/>
    <w:rsid w:val="00E57DD3"/>
    <w:rsid w:val="00E57FB5"/>
    <w:rsid w:val="00E6006C"/>
    <w:rsid w:val="00E60661"/>
    <w:rsid w:val="00E60D86"/>
    <w:rsid w:val="00E611B7"/>
    <w:rsid w:val="00E61958"/>
    <w:rsid w:val="00E61B8E"/>
    <w:rsid w:val="00E6234D"/>
    <w:rsid w:val="00E62470"/>
    <w:rsid w:val="00E62B48"/>
    <w:rsid w:val="00E631D3"/>
    <w:rsid w:val="00E638CD"/>
    <w:rsid w:val="00E639C7"/>
    <w:rsid w:val="00E63AB7"/>
    <w:rsid w:val="00E644C5"/>
    <w:rsid w:val="00E65E01"/>
    <w:rsid w:val="00E66C7A"/>
    <w:rsid w:val="00E6710F"/>
    <w:rsid w:val="00E67257"/>
    <w:rsid w:val="00E67E81"/>
    <w:rsid w:val="00E71882"/>
    <w:rsid w:val="00E72531"/>
    <w:rsid w:val="00E726BF"/>
    <w:rsid w:val="00E73018"/>
    <w:rsid w:val="00E730A7"/>
    <w:rsid w:val="00E73815"/>
    <w:rsid w:val="00E738BE"/>
    <w:rsid w:val="00E7410D"/>
    <w:rsid w:val="00E75314"/>
    <w:rsid w:val="00E75383"/>
    <w:rsid w:val="00E75693"/>
    <w:rsid w:val="00E757CB"/>
    <w:rsid w:val="00E7588F"/>
    <w:rsid w:val="00E75911"/>
    <w:rsid w:val="00E75B06"/>
    <w:rsid w:val="00E75B6F"/>
    <w:rsid w:val="00E76B0B"/>
    <w:rsid w:val="00E80CD9"/>
    <w:rsid w:val="00E80E9D"/>
    <w:rsid w:val="00E81650"/>
    <w:rsid w:val="00E8183F"/>
    <w:rsid w:val="00E829FC"/>
    <w:rsid w:val="00E82A2C"/>
    <w:rsid w:val="00E82B22"/>
    <w:rsid w:val="00E832DC"/>
    <w:rsid w:val="00E835F9"/>
    <w:rsid w:val="00E8393B"/>
    <w:rsid w:val="00E847F3"/>
    <w:rsid w:val="00E855CE"/>
    <w:rsid w:val="00E857E5"/>
    <w:rsid w:val="00E85D8A"/>
    <w:rsid w:val="00E86665"/>
    <w:rsid w:val="00E8717D"/>
    <w:rsid w:val="00E87859"/>
    <w:rsid w:val="00E8796D"/>
    <w:rsid w:val="00E90597"/>
    <w:rsid w:val="00E9266F"/>
    <w:rsid w:val="00E928B9"/>
    <w:rsid w:val="00E92AA7"/>
    <w:rsid w:val="00E93B69"/>
    <w:rsid w:val="00E94215"/>
    <w:rsid w:val="00E94706"/>
    <w:rsid w:val="00E95171"/>
    <w:rsid w:val="00E95600"/>
    <w:rsid w:val="00E96C58"/>
    <w:rsid w:val="00EA062F"/>
    <w:rsid w:val="00EA0AA4"/>
    <w:rsid w:val="00EA1747"/>
    <w:rsid w:val="00EA19E6"/>
    <w:rsid w:val="00EA19FB"/>
    <w:rsid w:val="00EA1F03"/>
    <w:rsid w:val="00EA3886"/>
    <w:rsid w:val="00EA3F1D"/>
    <w:rsid w:val="00EA435E"/>
    <w:rsid w:val="00EA4633"/>
    <w:rsid w:val="00EA5008"/>
    <w:rsid w:val="00EA55A2"/>
    <w:rsid w:val="00EA5D7F"/>
    <w:rsid w:val="00EA5EC2"/>
    <w:rsid w:val="00EA6BF9"/>
    <w:rsid w:val="00EA708B"/>
    <w:rsid w:val="00EA726F"/>
    <w:rsid w:val="00EB1142"/>
    <w:rsid w:val="00EB145E"/>
    <w:rsid w:val="00EB16BC"/>
    <w:rsid w:val="00EB1D26"/>
    <w:rsid w:val="00EB20DA"/>
    <w:rsid w:val="00EB261B"/>
    <w:rsid w:val="00EB262B"/>
    <w:rsid w:val="00EB28DF"/>
    <w:rsid w:val="00EB2A27"/>
    <w:rsid w:val="00EB2E59"/>
    <w:rsid w:val="00EB32FE"/>
    <w:rsid w:val="00EB3492"/>
    <w:rsid w:val="00EB35D4"/>
    <w:rsid w:val="00EB3F8C"/>
    <w:rsid w:val="00EB4105"/>
    <w:rsid w:val="00EB4756"/>
    <w:rsid w:val="00EB510F"/>
    <w:rsid w:val="00EB5278"/>
    <w:rsid w:val="00EB6B8A"/>
    <w:rsid w:val="00EB754B"/>
    <w:rsid w:val="00EB77EF"/>
    <w:rsid w:val="00EC0058"/>
    <w:rsid w:val="00EC12A2"/>
    <w:rsid w:val="00EC1A45"/>
    <w:rsid w:val="00EC1BA0"/>
    <w:rsid w:val="00EC1DA5"/>
    <w:rsid w:val="00EC256B"/>
    <w:rsid w:val="00EC256C"/>
    <w:rsid w:val="00EC3135"/>
    <w:rsid w:val="00EC3B13"/>
    <w:rsid w:val="00EC3E63"/>
    <w:rsid w:val="00EC4E2D"/>
    <w:rsid w:val="00EC5630"/>
    <w:rsid w:val="00EC5C18"/>
    <w:rsid w:val="00EC6133"/>
    <w:rsid w:val="00EC62B7"/>
    <w:rsid w:val="00EC6CA0"/>
    <w:rsid w:val="00EC6EC8"/>
    <w:rsid w:val="00EC6ECF"/>
    <w:rsid w:val="00EC732A"/>
    <w:rsid w:val="00ED0315"/>
    <w:rsid w:val="00ED180A"/>
    <w:rsid w:val="00ED1B37"/>
    <w:rsid w:val="00ED1C45"/>
    <w:rsid w:val="00ED1D26"/>
    <w:rsid w:val="00ED1E3D"/>
    <w:rsid w:val="00ED21BE"/>
    <w:rsid w:val="00ED3DF5"/>
    <w:rsid w:val="00ED3E9D"/>
    <w:rsid w:val="00ED3FE2"/>
    <w:rsid w:val="00ED402A"/>
    <w:rsid w:val="00ED4366"/>
    <w:rsid w:val="00ED598B"/>
    <w:rsid w:val="00ED5E29"/>
    <w:rsid w:val="00ED60CE"/>
    <w:rsid w:val="00ED6931"/>
    <w:rsid w:val="00ED6F93"/>
    <w:rsid w:val="00ED7194"/>
    <w:rsid w:val="00ED7813"/>
    <w:rsid w:val="00EE06D2"/>
    <w:rsid w:val="00EE08A0"/>
    <w:rsid w:val="00EE0E39"/>
    <w:rsid w:val="00EE1082"/>
    <w:rsid w:val="00EE15F6"/>
    <w:rsid w:val="00EE1603"/>
    <w:rsid w:val="00EE16E0"/>
    <w:rsid w:val="00EE1E31"/>
    <w:rsid w:val="00EE258E"/>
    <w:rsid w:val="00EE2828"/>
    <w:rsid w:val="00EE28AF"/>
    <w:rsid w:val="00EE3472"/>
    <w:rsid w:val="00EE3549"/>
    <w:rsid w:val="00EE3795"/>
    <w:rsid w:val="00EE3D89"/>
    <w:rsid w:val="00EE4A4D"/>
    <w:rsid w:val="00EE4B5F"/>
    <w:rsid w:val="00EE530C"/>
    <w:rsid w:val="00EE54DC"/>
    <w:rsid w:val="00EE59F5"/>
    <w:rsid w:val="00EE7DA5"/>
    <w:rsid w:val="00EF0F40"/>
    <w:rsid w:val="00EF1B1C"/>
    <w:rsid w:val="00EF2503"/>
    <w:rsid w:val="00EF2793"/>
    <w:rsid w:val="00EF2896"/>
    <w:rsid w:val="00EF2991"/>
    <w:rsid w:val="00EF372C"/>
    <w:rsid w:val="00EF37E8"/>
    <w:rsid w:val="00EF38D8"/>
    <w:rsid w:val="00EF41A5"/>
    <w:rsid w:val="00EF4C68"/>
    <w:rsid w:val="00EF52BB"/>
    <w:rsid w:val="00EF5473"/>
    <w:rsid w:val="00EF55DB"/>
    <w:rsid w:val="00EF652D"/>
    <w:rsid w:val="00EF65D0"/>
    <w:rsid w:val="00EF66F3"/>
    <w:rsid w:val="00EF70ED"/>
    <w:rsid w:val="00EF73C0"/>
    <w:rsid w:val="00EF744F"/>
    <w:rsid w:val="00EF7C80"/>
    <w:rsid w:val="00F00A3F"/>
    <w:rsid w:val="00F01473"/>
    <w:rsid w:val="00F0175B"/>
    <w:rsid w:val="00F01963"/>
    <w:rsid w:val="00F01984"/>
    <w:rsid w:val="00F046E1"/>
    <w:rsid w:val="00F04D70"/>
    <w:rsid w:val="00F04F93"/>
    <w:rsid w:val="00F072BC"/>
    <w:rsid w:val="00F07880"/>
    <w:rsid w:val="00F07D3D"/>
    <w:rsid w:val="00F07E22"/>
    <w:rsid w:val="00F104CD"/>
    <w:rsid w:val="00F10F91"/>
    <w:rsid w:val="00F11190"/>
    <w:rsid w:val="00F113CD"/>
    <w:rsid w:val="00F12354"/>
    <w:rsid w:val="00F14FA5"/>
    <w:rsid w:val="00F15C08"/>
    <w:rsid w:val="00F15CAC"/>
    <w:rsid w:val="00F15F32"/>
    <w:rsid w:val="00F16563"/>
    <w:rsid w:val="00F16635"/>
    <w:rsid w:val="00F17DD8"/>
    <w:rsid w:val="00F17F11"/>
    <w:rsid w:val="00F216F2"/>
    <w:rsid w:val="00F21B33"/>
    <w:rsid w:val="00F21ED8"/>
    <w:rsid w:val="00F22681"/>
    <w:rsid w:val="00F22D9C"/>
    <w:rsid w:val="00F2393A"/>
    <w:rsid w:val="00F24CEE"/>
    <w:rsid w:val="00F25A84"/>
    <w:rsid w:val="00F25AEA"/>
    <w:rsid w:val="00F25C8E"/>
    <w:rsid w:val="00F26105"/>
    <w:rsid w:val="00F26997"/>
    <w:rsid w:val="00F26E27"/>
    <w:rsid w:val="00F30054"/>
    <w:rsid w:val="00F304E4"/>
    <w:rsid w:val="00F30D9D"/>
    <w:rsid w:val="00F333DE"/>
    <w:rsid w:val="00F344E1"/>
    <w:rsid w:val="00F3469B"/>
    <w:rsid w:val="00F347F0"/>
    <w:rsid w:val="00F34FEA"/>
    <w:rsid w:val="00F35172"/>
    <w:rsid w:val="00F351FE"/>
    <w:rsid w:val="00F3646B"/>
    <w:rsid w:val="00F36DE5"/>
    <w:rsid w:val="00F36E1E"/>
    <w:rsid w:val="00F37FF6"/>
    <w:rsid w:val="00F403DD"/>
    <w:rsid w:val="00F416D4"/>
    <w:rsid w:val="00F42C93"/>
    <w:rsid w:val="00F4338C"/>
    <w:rsid w:val="00F4396B"/>
    <w:rsid w:val="00F43A94"/>
    <w:rsid w:val="00F44CF5"/>
    <w:rsid w:val="00F44E95"/>
    <w:rsid w:val="00F44F90"/>
    <w:rsid w:val="00F45C3A"/>
    <w:rsid w:val="00F46290"/>
    <w:rsid w:val="00F4647B"/>
    <w:rsid w:val="00F46E6F"/>
    <w:rsid w:val="00F47AB5"/>
    <w:rsid w:val="00F47F69"/>
    <w:rsid w:val="00F47FE0"/>
    <w:rsid w:val="00F500A6"/>
    <w:rsid w:val="00F50D0E"/>
    <w:rsid w:val="00F514E7"/>
    <w:rsid w:val="00F52700"/>
    <w:rsid w:val="00F52C6F"/>
    <w:rsid w:val="00F53127"/>
    <w:rsid w:val="00F53F44"/>
    <w:rsid w:val="00F54601"/>
    <w:rsid w:val="00F55222"/>
    <w:rsid w:val="00F554A6"/>
    <w:rsid w:val="00F55ADA"/>
    <w:rsid w:val="00F55C8D"/>
    <w:rsid w:val="00F5640F"/>
    <w:rsid w:val="00F568D2"/>
    <w:rsid w:val="00F56B6E"/>
    <w:rsid w:val="00F5702B"/>
    <w:rsid w:val="00F60919"/>
    <w:rsid w:val="00F61D11"/>
    <w:rsid w:val="00F61EB8"/>
    <w:rsid w:val="00F61F58"/>
    <w:rsid w:val="00F62EE3"/>
    <w:rsid w:val="00F6320F"/>
    <w:rsid w:val="00F63848"/>
    <w:rsid w:val="00F63A6C"/>
    <w:rsid w:val="00F63C52"/>
    <w:rsid w:val="00F65061"/>
    <w:rsid w:val="00F65075"/>
    <w:rsid w:val="00F65203"/>
    <w:rsid w:val="00F65CFC"/>
    <w:rsid w:val="00F65E45"/>
    <w:rsid w:val="00F662F2"/>
    <w:rsid w:val="00F66960"/>
    <w:rsid w:val="00F67E60"/>
    <w:rsid w:val="00F70AD7"/>
    <w:rsid w:val="00F71847"/>
    <w:rsid w:val="00F719D4"/>
    <w:rsid w:val="00F71AB3"/>
    <w:rsid w:val="00F72775"/>
    <w:rsid w:val="00F752FD"/>
    <w:rsid w:val="00F76072"/>
    <w:rsid w:val="00F76769"/>
    <w:rsid w:val="00F76D71"/>
    <w:rsid w:val="00F7739E"/>
    <w:rsid w:val="00F7774D"/>
    <w:rsid w:val="00F7774F"/>
    <w:rsid w:val="00F77EBB"/>
    <w:rsid w:val="00F80498"/>
    <w:rsid w:val="00F804BD"/>
    <w:rsid w:val="00F8081B"/>
    <w:rsid w:val="00F80EB7"/>
    <w:rsid w:val="00F8111C"/>
    <w:rsid w:val="00F81742"/>
    <w:rsid w:val="00F81AA0"/>
    <w:rsid w:val="00F81BCE"/>
    <w:rsid w:val="00F830F0"/>
    <w:rsid w:val="00F83286"/>
    <w:rsid w:val="00F835A1"/>
    <w:rsid w:val="00F847E3"/>
    <w:rsid w:val="00F852D7"/>
    <w:rsid w:val="00F85399"/>
    <w:rsid w:val="00F860A5"/>
    <w:rsid w:val="00F86410"/>
    <w:rsid w:val="00F86993"/>
    <w:rsid w:val="00F86A12"/>
    <w:rsid w:val="00F8702D"/>
    <w:rsid w:val="00F87376"/>
    <w:rsid w:val="00F8761F"/>
    <w:rsid w:val="00F87626"/>
    <w:rsid w:val="00F90056"/>
    <w:rsid w:val="00F90188"/>
    <w:rsid w:val="00F9018F"/>
    <w:rsid w:val="00F9052E"/>
    <w:rsid w:val="00F90ED2"/>
    <w:rsid w:val="00F9161B"/>
    <w:rsid w:val="00F9193E"/>
    <w:rsid w:val="00F926B8"/>
    <w:rsid w:val="00F92933"/>
    <w:rsid w:val="00F92B63"/>
    <w:rsid w:val="00F92FC6"/>
    <w:rsid w:val="00F943B3"/>
    <w:rsid w:val="00F94670"/>
    <w:rsid w:val="00F947F7"/>
    <w:rsid w:val="00F94B17"/>
    <w:rsid w:val="00F94BF7"/>
    <w:rsid w:val="00F94EA0"/>
    <w:rsid w:val="00F95029"/>
    <w:rsid w:val="00F9515E"/>
    <w:rsid w:val="00FA0A7D"/>
    <w:rsid w:val="00FA1301"/>
    <w:rsid w:val="00FA1523"/>
    <w:rsid w:val="00FA18DA"/>
    <w:rsid w:val="00FA19C5"/>
    <w:rsid w:val="00FA1E1E"/>
    <w:rsid w:val="00FA2158"/>
    <w:rsid w:val="00FA2459"/>
    <w:rsid w:val="00FA2E27"/>
    <w:rsid w:val="00FA2EA8"/>
    <w:rsid w:val="00FA3085"/>
    <w:rsid w:val="00FA4645"/>
    <w:rsid w:val="00FA4A23"/>
    <w:rsid w:val="00FA4E04"/>
    <w:rsid w:val="00FA5324"/>
    <w:rsid w:val="00FA5DFE"/>
    <w:rsid w:val="00FA5F95"/>
    <w:rsid w:val="00FA65BA"/>
    <w:rsid w:val="00FA6D56"/>
    <w:rsid w:val="00FA6ECD"/>
    <w:rsid w:val="00FA700E"/>
    <w:rsid w:val="00FA7A11"/>
    <w:rsid w:val="00FA7A58"/>
    <w:rsid w:val="00FA7EDB"/>
    <w:rsid w:val="00FB0782"/>
    <w:rsid w:val="00FB24C4"/>
    <w:rsid w:val="00FB2627"/>
    <w:rsid w:val="00FB340D"/>
    <w:rsid w:val="00FB3746"/>
    <w:rsid w:val="00FB393B"/>
    <w:rsid w:val="00FB3949"/>
    <w:rsid w:val="00FB4BA7"/>
    <w:rsid w:val="00FB5652"/>
    <w:rsid w:val="00FB592F"/>
    <w:rsid w:val="00FB60AA"/>
    <w:rsid w:val="00FB62C9"/>
    <w:rsid w:val="00FB6704"/>
    <w:rsid w:val="00FB7058"/>
    <w:rsid w:val="00FB73B5"/>
    <w:rsid w:val="00FB7BD5"/>
    <w:rsid w:val="00FC049D"/>
    <w:rsid w:val="00FC257E"/>
    <w:rsid w:val="00FC261C"/>
    <w:rsid w:val="00FC3011"/>
    <w:rsid w:val="00FC34C0"/>
    <w:rsid w:val="00FC3D7B"/>
    <w:rsid w:val="00FC46D7"/>
    <w:rsid w:val="00FC5BC3"/>
    <w:rsid w:val="00FC68CD"/>
    <w:rsid w:val="00FC7706"/>
    <w:rsid w:val="00FC7BFC"/>
    <w:rsid w:val="00FD068C"/>
    <w:rsid w:val="00FD093D"/>
    <w:rsid w:val="00FD1337"/>
    <w:rsid w:val="00FD173E"/>
    <w:rsid w:val="00FD388A"/>
    <w:rsid w:val="00FD3C37"/>
    <w:rsid w:val="00FD421E"/>
    <w:rsid w:val="00FD543C"/>
    <w:rsid w:val="00FD5450"/>
    <w:rsid w:val="00FD5A57"/>
    <w:rsid w:val="00FD6104"/>
    <w:rsid w:val="00FD6A26"/>
    <w:rsid w:val="00FD6F16"/>
    <w:rsid w:val="00FE0201"/>
    <w:rsid w:val="00FE06AB"/>
    <w:rsid w:val="00FE0842"/>
    <w:rsid w:val="00FE0ED3"/>
    <w:rsid w:val="00FE114E"/>
    <w:rsid w:val="00FE1BAC"/>
    <w:rsid w:val="00FE26EE"/>
    <w:rsid w:val="00FE3AE3"/>
    <w:rsid w:val="00FE45B4"/>
    <w:rsid w:val="00FE45D7"/>
    <w:rsid w:val="00FE5A4D"/>
    <w:rsid w:val="00FE6115"/>
    <w:rsid w:val="00FE6180"/>
    <w:rsid w:val="00FE62D7"/>
    <w:rsid w:val="00FE72D9"/>
    <w:rsid w:val="00FE7534"/>
    <w:rsid w:val="00FF00CF"/>
    <w:rsid w:val="00FF01CE"/>
    <w:rsid w:val="00FF0C3C"/>
    <w:rsid w:val="00FF1AD0"/>
    <w:rsid w:val="00FF2062"/>
    <w:rsid w:val="00FF2232"/>
    <w:rsid w:val="00FF2726"/>
    <w:rsid w:val="00FF31E3"/>
    <w:rsid w:val="00FF39F9"/>
    <w:rsid w:val="00FF3CED"/>
    <w:rsid w:val="00FF3E6D"/>
    <w:rsid w:val="00FF3F4D"/>
    <w:rsid w:val="00FF5482"/>
    <w:rsid w:val="00FF5704"/>
    <w:rsid w:val="00FF623F"/>
    <w:rsid w:val="00FF6BB8"/>
    <w:rsid w:val="00FF6D1F"/>
    <w:rsid w:val="00FF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14:docId w14:val="06B7595F"/>
  <w15:docId w15:val="{B2DFB557-E7C3-402B-8D9B-768F41C3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58C"/>
    <w:pPr>
      <w:jc w:val="both"/>
    </w:pPr>
    <w:rPr>
      <w:rFonts w:ascii="Arial" w:hAnsi="Arial" w:cs="Arial"/>
      <w:color w:val="000000"/>
      <w:szCs w:val="24"/>
      <w:lang w:val="uk-UA"/>
    </w:rPr>
  </w:style>
  <w:style w:type="paragraph" w:styleId="1">
    <w:name w:val="heading 1"/>
    <w:basedOn w:val="a"/>
    <w:next w:val="a"/>
    <w:link w:val="10"/>
    <w:uiPriority w:val="9"/>
    <w:qFormat/>
    <w:rsid w:val="001E31A0"/>
    <w:pPr>
      <w:keepNext/>
      <w:numPr>
        <w:numId w:val="20"/>
      </w:numPr>
      <w:spacing w:before="480" w:after="240"/>
      <w:outlineLvl w:val="0"/>
    </w:pPr>
    <w:rPr>
      <w:b/>
      <w:caps/>
      <w:kern w:val="32"/>
      <w:szCs w:val="48"/>
    </w:rPr>
  </w:style>
  <w:style w:type="paragraph" w:styleId="2">
    <w:name w:val="heading 2"/>
    <w:basedOn w:val="a"/>
    <w:next w:val="a"/>
    <w:link w:val="20"/>
    <w:uiPriority w:val="9"/>
    <w:qFormat/>
    <w:locked/>
    <w:rsid w:val="001E31A0"/>
    <w:pPr>
      <w:keepNext/>
      <w:numPr>
        <w:ilvl w:val="1"/>
        <w:numId w:val="20"/>
      </w:numPr>
      <w:spacing w:before="240" w:after="60"/>
      <w:outlineLvl w:val="1"/>
    </w:pPr>
    <w:rPr>
      <w:b/>
      <w:szCs w:val="36"/>
    </w:rPr>
  </w:style>
  <w:style w:type="paragraph" w:styleId="3">
    <w:name w:val="heading 3"/>
    <w:basedOn w:val="a"/>
    <w:next w:val="a"/>
    <w:link w:val="30"/>
    <w:uiPriority w:val="9"/>
    <w:qFormat/>
    <w:locked/>
    <w:rsid w:val="001E31A0"/>
    <w:pPr>
      <w:keepNext/>
      <w:numPr>
        <w:ilvl w:val="2"/>
        <w:numId w:val="20"/>
      </w:numPr>
      <w:spacing w:before="240" w:after="60"/>
      <w:outlineLvl w:val="2"/>
    </w:pPr>
    <w:rPr>
      <w:b/>
      <w:szCs w:val="28"/>
    </w:rPr>
  </w:style>
  <w:style w:type="paragraph" w:styleId="4">
    <w:name w:val="heading 4"/>
    <w:basedOn w:val="a"/>
    <w:next w:val="a"/>
    <w:link w:val="40"/>
    <w:qFormat/>
    <w:locked/>
    <w:rsid w:val="001E31A0"/>
    <w:pPr>
      <w:keepNext/>
      <w:numPr>
        <w:ilvl w:val="3"/>
        <w:numId w:val="20"/>
      </w:numPr>
      <w:spacing w:before="240" w:after="60"/>
      <w:outlineLvl w:val="3"/>
    </w:pPr>
  </w:style>
  <w:style w:type="paragraph" w:styleId="5">
    <w:name w:val="heading 5"/>
    <w:basedOn w:val="a"/>
    <w:next w:val="a"/>
    <w:link w:val="50"/>
    <w:uiPriority w:val="99"/>
    <w:qFormat/>
    <w:rsid w:val="00215913"/>
    <w:pPr>
      <w:keepNext/>
      <w:keepLines/>
      <w:numPr>
        <w:ilvl w:val="4"/>
        <w:numId w:val="20"/>
      </w:numPr>
      <w:spacing w:before="200"/>
      <w:outlineLvl w:val="4"/>
    </w:pPr>
    <w:rPr>
      <w:rFonts w:ascii="Cambria" w:hAnsi="Cambria" w:cs="Times New Roman"/>
      <w:color w:val="243F60"/>
    </w:rPr>
  </w:style>
  <w:style w:type="paragraph" w:styleId="6">
    <w:name w:val="heading 6"/>
    <w:basedOn w:val="a"/>
    <w:next w:val="a"/>
    <w:link w:val="60"/>
    <w:semiHidden/>
    <w:unhideWhenUsed/>
    <w:qFormat/>
    <w:locked/>
    <w:rsid w:val="00AB3C61"/>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locked/>
    <w:rsid w:val="00AB3C61"/>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locked/>
    <w:rsid w:val="00AB3C61"/>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locked/>
    <w:rsid w:val="00AB3C61"/>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E31A0"/>
    <w:rPr>
      <w:rFonts w:ascii="Arial" w:hAnsi="Arial" w:cs="Arial"/>
      <w:b/>
      <w:caps/>
      <w:color w:val="000000"/>
      <w:kern w:val="32"/>
      <w:szCs w:val="48"/>
      <w:lang w:val="uk-UA"/>
    </w:rPr>
  </w:style>
  <w:style w:type="character" w:customStyle="1" w:styleId="50">
    <w:name w:val="Заголовок 5 Знак"/>
    <w:basedOn w:val="a0"/>
    <w:link w:val="5"/>
    <w:uiPriority w:val="99"/>
    <w:locked/>
    <w:rsid w:val="00215913"/>
    <w:rPr>
      <w:rFonts w:ascii="Cambria" w:hAnsi="Cambria"/>
      <w:color w:val="243F60"/>
      <w:szCs w:val="24"/>
      <w:lang w:val="uk-UA"/>
    </w:rPr>
  </w:style>
  <w:style w:type="paragraph" w:styleId="a3">
    <w:name w:val="footer"/>
    <w:basedOn w:val="a"/>
    <w:link w:val="a4"/>
    <w:uiPriority w:val="99"/>
    <w:rsid w:val="009F02A1"/>
    <w:pPr>
      <w:tabs>
        <w:tab w:val="center" w:pos="4677"/>
        <w:tab w:val="right" w:pos="9355"/>
      </w:tabs>
    </w:pPr>
  </w:style>
  <w:style w:type="character" w:customStyle="1" w:styleId="a4">
    <w:name w:val="Нижний колонтитул Знак"/>
    <w:basedOn w:val="a0"/>
    <w:link w:val="a3"/>
    <w:uiPriority w:val="99"/>
    <w:locked/>
    <w:rsid w:val="009F02A1"/>
    <w:rPr>
      <w:rFonts w:ascii="Arial" w:hAnsi="Arial" w:cs="Arial"/>
      <w:color w:val="000000"/>
      <w:sz w:val="24"/>
      <w:szCs w:val="24"/>
      <w:lang w:val="uk-UA" w:eastAsia="ru-RU" w:bidi="ar-SA"/>
    </w:rPr>
  </w:style>
  <w:style w:type="character" w:styleId="a5">
    <w:name w:val="page number"/>
    <w:basedOn w:val="a0"/>
    <w:uiPriority w:val="99"/>
    <w:rsid w:val="009F02A1"/>
    <w:rPr>
      <w:rFonts w:cs="Times New Roman"/>
    </w:rPr>
  </w:style>
  <w:style w:type="paragraph" w:customStyle="1" w:styleId="SubHeader1">
    <w:name w:val="SubHeader1"/>
    <w:basedOn w:val="a"/>
    <w:autoRedefine/>
    <w:uiPriority w:val="99"/>
    <w:rsid w:val="009F02A1"/>
    <w:pPr>
      <w:keepNext/>
      <w:keepLines/>
      <w:suppressAutoHyphens/>
      <w:spacing w:before="200" w:after="200"/>
    </w:pPr>
    <w:rPr>
      <w:b/>
    </w:rPr>
  </w:style>
  <w:style w:type="paragraph" w:styleId="a6">
    <w:name w:val="Balloon Text"/>
    <w:basedOn w:val="a"/>
    <w:link w:val="a7"/>
    <w:uiPriority w:val="99"/>
    <w:semiHidden/>
    <w:rsid w:val="009F02A1"/>
    <w:rPr>
      <w:rFonts w:ascii="Tahoma" w:hAnsi="Tahoma" w:cs="Tahoma"/>
      <w:sz w:val="16"/>
      <w:szCs w:val="16"/>
    </w:rPr>
  </w:style>
  <w:style w:type="character" w:customStyle="1" w:styleId="a7">
    <w:name w:val="Текст выноски Знак"/>
    <w:basedOn w:val="a0"/>
    <w:link w:val="a6"/>
    <w:uiPriority w:val="99"/>
    <w:semiHidden/>
    <w:locked/>
    <w:rsid w:val="00E01B50"/>
    <w:rPr>
      <w:rFonts w:cs="Arial"/>
      <w:color w:val="000000"/>
      <w:sz w:val="2"/>
      <w:lang w:val="uk-UA"/>
    </w:rPr>
  </w:style>
  <w:style w:type="paragraph" w:styleId="a8">
    <w:name w:val="annotation text"/>
    <w:basedOn w:val="a"/>
    <w:link w:val="a9"/>
    <w:uiPriority w:val="99"/>
    <w:rsid w:val="009F02A1"/>
    <w:rPr>
      <w:szCs w:val="20"/>
    </w:rPr>
  </w:style>
  <w:style w:type="character" w:customStyle="1" w:styleId="a9">
    <w:name w:val="Текст примечания Знак"/>
    <w:basedOn w:val="a0"/>
    <w:link w:val="a8"/>
    <w:uiPriority w:val="99"/>
    <w:locked/>
    <w:rsid w:val="009F02A1"/>
    <w:rPr>
      <w:rFonts w:ascii="Arial" w:hAnsi="Arial" w:cs="Arial"/>
      <w:color w:val="000000"/>
      <w:lang w:val="uk-UA" w:eastAsia="ru-RU" w:bidi="ar-SA"/>
    </w:rPr>
  </w:style>
  <w:style w:type="character" w:styleId="aa">
    <w:name w:val="annotation reference"/>
    <w:basedOn w:val="a0"/>
    <w:uiPriority w:val="99"/>
    <w:rsid w:val="009F02A1"/>
    <w:rPr>
      <w:rFonts w:cs="Times New Roman"/>
      <w:sz w:val="16"/>
      <w:szCs w:val="16"/>
    </w:rPr>
  </w:style>
  <w:style w:type="paragraph" w:styleId="ab">
    <w:name w:val="annotation subject"/>
    <w:basedOn w:val="a8"/>
    <w:next w:val="a8"/>
    <w:link w:val="ac"/>
    <w:uiPriority w:val="99"/>
    <w:rsid w:val="009F02A1"/>
    <w:rPr>
      <w:b/>
      <w:bCs/>
    </w:rPr>
  </w:style>
  <w:style w:type="character" w:customStyle="1" w:styleId="ac">
    <w:name w:val="Тема примечания Знак"/>
    <w:basedOn w:val="a9"/>
    <w:link w:val="ab"/>
    <w:uiPriority w:val="99"/>
    <w:locked/>
    <w:rsid w:val="009F02A1"/>
    <w:rPr>
      <w:rFonts w:ascii="Arial" w:hAnsi="Arial" w:cs="Arial"/>
      <w:b/>
      <w:bCs/>
      <w:color w:val="000000"/>
      <w:lang w:val="uk-UA" w:eastAsia="ru-RU" w:bidi="ar-SA"/>
    </w:rPr>
  </w:style>
  <w:style w:type="paragraph" w:styleId="ad">
    <w:name w:val="header"/>
    <w:basedOn w:val="a"/>
    <w:link w:val="ae"/>
    <w:uiPriority w:val="99"/>
    <w:rsid w:val="00FB3949"/>
    <w:pPr>
      <w:tabs>
        <w:tab w:val="center" w:pos="4677"/>
        <w:tab w:val="right" w:pos="9355"/>
      </w:tabs>
    </w:pPr>
  </w:style>
  <w:style w:type="character" w:customStyle="1" w:styleId="ae">
    <w:name w:val="Верхний колонтитул Знак"/>
    <w:basedOn w:val="a0"/>
    <w:link w:val="ad"/>
    <w:uiPriority w:val="99"/>
    <w:locked/>
    <w:rsid w:val="00FB3949"/>
    <w:rPr>
      <w:rFonts w:ascii="Arial" w:hAnsi="Arial" w:cs="Arial"/>
      <w:color w:val="000000"/>
      <w:sz w:val="24"/>
      <w:szCs w:val="24"/>
      <w:lang w:val="uk-UA"/>
    </w:rPr>
  </w:style>
  <w:style w:type="table" w:styleId="af">
    <w:name w:val="Table Grid"/>
    <w:basedOn w:val="a1"/>
    <w:uiPriority w:val="39"/>
    <w:rsid w:val="00675D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link w:val="af1"/>
    <w:uiPriority w:val="34"/>
    <w:qFormat/>
    <w:rsid w:val="008564B0"/>
    <w:pPr>
      <w:ind w:left="720"/>
      <w:contextualSpacing/>
    </w:pPr>
  </w:style>
  <w:style w:type="paragraph" w:styleId="af2">
    <w:name w:val="Body Text"/>
    <w:basedOn w:val="a"/>
    <w:link w:val="af3"/>
    <w:uiPriority w:val="99"/>
    <w:rsid w:val="00215913"/>
    <w:pPr>
      <w:spacing w:line="360" w:lineRule="auto"/>
    </w:pPr>
    <w:rPr>
      <w:rFonts w:ascii="Times New Roman" w:hAnsi="Times New Roman" w:cs="Times New Roman"/>
      <w:color w:val="auto"/>
      <w:sz w:val="28"/>
      <w:szCs w:val="20"/>
    </w:rPr>
  </w:style>
  <w:style w:type="character" w:customStyle="1" w:styleId="af3">
    <w:name w:val="Основной текст Знак"/>
    <w:basedOn w:val="a0"/>
    <w:link w:val="af2"/>
    <w:uiPriority w:val="99"/>
    <w:locked/>
    <w:rsid w:val="00215913"/>
    <w:rPr>
      <w:rFonts w:cs="Times New Roman"/>
      <w:sz w:val="28"/>
      <w:lang w:val="uk-UA"/>
    </w:rPr>
  </w:style>
  <w:style w:type="paragraph" w:styleId="af4">
    <w:name w:val="caption"/>
    <w:basedOn w:val="a"/>
    <w:next w:val="a"/>
    <w:unhideWhenUsed/>
    <w:qFormat/>
    <w:locked/>
    <w:rsid w:val="00EF73C0"/>
    <w:rPr>
      <w:b/>
      <w:bCs/>
      <w:szCs w:val="20"/>
    </w:rPr>
  </w:style>
  <w:style w:type="character" w:styleId="af5">
    <w:name w:val="Emphasis"/>
    <w:basedOn w:val="a0"/>
    <w:uiPriority w:val="20"/>
    <w:qFormat/>
    <w:locked/>
    <w:rsid w:val="00457D2D"/>
    <w:rPr>
      <w:i/>
      <w:iCs/>
    </w:rPr>
  </w:style>
  <w:style w:type="character" w:customStyle="1" w:styleId="hps">
    <w:name w:val="hps"/>
    <w:basedOn w:val="a0"/>
    <w:rsid w:val="006C71C2"/>
  </w:style>
  <w:style w:type="paragraph" w:customStyle="1" w:styleId="22">
    <w:name w:val="Основной текст22"/>
    <w:basedOn w:val="a"/>
    <w:rsid w:val="002B40E7"/>
    <w:pPr>
      <w:widowControl w:val="0"/>
      <w:shd w:val="clear" w:color="auto" w:fill="FFFFFF"/>
      <w:spacing w:before="480" w:line="0" w:lineRule="atLeast"/>
      <w:ind w:hanging="1780"/>
      <w:jc w:val="left"/>
    </w:pPr>
    <w:rPr>
      <w:rFonts w:ascii="Times New Roman" w:hAnsi="Times New Roman" w:cs="Times New Roman"/>
      <w:sz w:val="19"/>
      <w:szCs w:val="19"/>
      <w:lang w:eastAsia="uk-UA"/>
    </w:rPr>
  </w:style>
  <w:style w:type="paragraph" w:styleId="af6">
    <w:name w:val="Normal (Web)"/>
    <w:basedOn w:val="a"/>
    <w:uiPriority w:val="99"/>
    <w:unhideWhenUsed/>
    <w:rsid w:val="002B40E7"/>
    <w:pPr>
      <w:jc w:val="left"/>
    </w:pPr>
    <w:rPr>
      <w:rFonts w:ascii="Times New Roman" w:eastAsiaTheme="minorHAnsi" w:hAnsi="Times New Roman" w:cs="Times New Roman"/>
      <w:color w:val="auto"/>
      <w:sz w:val="24"/>
      <w:lang w:val="ru-RU"/>
    </w:rPr>
  </w:style>
  <w:style w:type="paragraph" w:customStyle="1" w:styleId="Default">
    <w:name w:val="Default"/>
    <w:rsid w:val="005D10D7"/>
    <w:pPr>
      <w:widowControl w:val="0"/>
      <w:autoSpaceDE w:val="0"/>
      <w:autoSpaceDN w:val="0"/>
      <w:adjustRightInd w:val="0"/>
    </w:pPr>
    <w:rPr>
      <w:rFonts w:ascii="KPMG Logo" w:hAnsi="KPMG Logo" w:cs="KPMG Logo"/>
      <w:color w:val="000000"/>
      <w:sz w:val="24"/>
      <w:szCs w:val="24"/>
      <w:lang w:val="uk-UA" w:eastAsia="uk-UA"/>
    </w:rPr>
  </w:style>
  <w:style w:type="character" w:customStyle="1" w:styleId="apple-converted-space">
    <w:name w:val="apple-converted-space"/>
    <w:basedOn w:val="a0"/>
    <w:rsid w:val="007111EB"/>
  </w:style>
  <w:style w:type="paragraph" w:customStyle="1" w:styleId="af7">
    <w:name w:val="!!!_ОСНОВНОЙ"/>
    <w:basedOn w:val="a"/>
    <w:link w:val="af8"/>
    <w:qFormat/>
    <w:rsid w:val="00FE1BAC"/>
    <w:pPr>
      <w:spacing w:before="120" w:after="120"/>
    </w:pPr>
  </w:style>
  <w:style w:type="character" w:customStyle="1" w:styleId="af8">
    <w:name w:val="!!!_ОСНОВНОЙ Знак"/>
    <w:basedOn w:val="a0"/>
    <w:link w:val="af7"/>
    <w:rsid w:val="00FE1BAC"/>
    <w:rPr>
      <w:rFonts w:ascii="Arial" w:hAnsi="Arial" w:cs="Arial"/>
      <w:color w:val="000000"/>
      <w:szCs w:val="24"/>
      <w:lang w:val="uk-UA"/>
    </w:rPr>
  </w:style>
  <w:style w:type="paragraph" w:customStyle="1" w:styleId="11">
    <w:name w:val="Заглавие 1"/>
    <w:basedOn w:val="a"/>
    <w:link w:val="12"/>
    <w:qFormat/>
    <w:rsid w:val="00565C3D"/>
    <w:pPr>
      <w:pageBreakBefore/>
      <w:tabs>
        <w:tab w:val="left" w:pos="1230"/>
      </w:tabs>
      <w:spacing w:before="480" w:after="120"/>
      <w:ind w:right="6"/>
      <w:outlineLvl w:val="0"/>
    </w:pPr>
    <w:rPr>
      <w:b/>
      <w:caps/>
      <w:color w:val="C00000"/>
    </w:rPr>
  </w:style>
  <w:style w:type="character" w:customStyle="1" w:styleId="12">
    <w:name w:val="Заглавие 1 Знак"/>
    <w:basedOn w:val="a0"/>
    <w:link w:val="11"/>
    <w:rsid w:val="00565C3D"/>
    <w:rPr>
      <w:rFonts w:ascii="Arial" w:hAnsi="Arial" w:cs="Arial"/>
      <w:b/>
      <w:caps/>
      <w:color w:val="C00000"/>
      <w:szCs w:val="24"/>
      <w:lang w:val="uk-UA"/>
    </w:rPr>
  </w:style>
  <w:style w:type="paragraph" w:customStyle="1" w:styleId="21">
    <w:name w:val="Заглавие 2"/>
    <w:basedOn w:val="a"/>
    <w:qFormat/>
    <w:rsid w:val="009016C5"/>
    <w:pPr>
      <w:keepNext/>
      <w:spacing w:before="480" w:after="240"/>
      <w:outlineLvl w:val="1"/>
    </w:pPr>
    <w:rPr>
      <w:b/>
      <w:caps/>
    </w:rPr>
  </w:style>
  <w:style w:type="paragraph" w:styleId="af9">
    <w:name w:val="TOC Heading"/>
    <w:basedOn w:val="1"/>
    <w:next w:val="a"/>
    <w:uiPriority w:val="39"/>
    <w:unhideWhenUsed/>
    <w:qFormat/>
    <w:rsid w:val="00A302B5"/>
    <w:pPr>
      <w:keepLines/>
      <w:spacing w:after="0" w:line="259" w:lineRule="auto"/>
      <w:jc w:val="left"/>
      <w:outlineLvl w:val="9"/>
    </w:pPr>
    <w:rPr>
      <w:rFonts w:asciiTheme="majorHAnsi" w:eastAsiaTheme="majorEastAsia" w:hAnsiTheme="majorHAnsi" w:cstheme="majorBidi"/>
      <w:color w:val="365F91" w:themeColor="accent1" w:themeShade="BF"/>
      <w:kern w:val="0"/>
      <w:sz w:val="32"/>
      <w:szCs w:val="32"/>
      <w:lang w:val="ru-RU"/>
    </w:rPr>
  </w:style>
  <w:style w:type="paragraph" w:styleId="13">
    <w:name w:val="toc 1"/>
    <w:basedOn w:val="a"/>
    <w:next w:val="a"/>
    <w:autoRedefine/>
    <w:uiPriority w:val="39"/>
    <w:locked/>
    <w:rsid w:val="00E37495"/>
    <w:pPr>
      <w:tabs>
        <w:tab w:val="left" w:pos="440"/>
        <w:tab w:val="right" w:leader="dot" w:pos="9628"/>
      </w:tabs>
      <w:ind w:left="142"/>
    </w:pPr>
  </w:style>
  <w:style w:type="paragraph" w:styleId="23">
    <w:name w:val="toc 2"/>
    <w:basedOn w:val="a"/>
    <w:next w:val="a"/>
    <w:autoRedefine/>
    <w:uiPriority w:val="39"/>
    <w:locked/>
    <w:rsid w:val="00FA700E"/>
    <w:pPr>
      <w:tabs>
        <w:tab w:val="right" w:pos="567"/>
        <w:tab w:val="left" w:pos="660"/>
        <w:tab w:val="right" w:leader="dot" w:pos="9628"/>
      </w:tabs>
      <w:spacing w:after="120"/>
      <w:ind w:left="142"/>
    </w:pPr>
    <w:rPr>
      <w:b/>
      <w:noProof/>
    </w:rPr>
  </w:style>
  <w:style w:type="paragraph" w:styleId="31">
    <w:name w:val="toc 3"/>
    <w:basedOn w:val="a"/>
    <w:next w:val="a"/>
    <w:autoRedefine/>
    <w:uiPriority w:val="39"/>
    <w:unhideWhenUsed/>
    <w:locked/>
    <w:rsid w:val="00A302B5"/>
    <w:pPr>
      <w:spacing w:after="100" w:line="259" w:lineRule="auto"/>
      <w:ind w:left="440"/>
      <w:jc w:val="left"/>
    </w:pPr>
    <w:rPr>
      <w:rFonts w:asciiTheme="minorHAnsi" w:eastAsiaTheme="minorEastAsia" w:hAnsiTheme="minorHAnsi" w:cstheme="minorBidi"/>
      <w:color w:val="auto"/>
      <w:sz w:val="22"/>
      <w:szCs w:val="22"/>
      <w:lang w:val="ru-RU"/>
    </w:rPr>
  </w:style>
  <w:style w:type="paragraph" w:styleId="41">
    <w:name w:val="toc 4"/>
    <w:basedOn w:val="a"/>
    <w:next w:val="a"/>
    <w:autoRedefine/>
    <w:uiPriority w:val="39"/>
    <w:unhideWhenUsed/>
    <w:locked/>
    <w:rsid w:val="00A302B5"/>
    <w:pPr>
      <w:spacing w:after="100" w:line="259" w:lineRule="auto"/>
      <w:ind w:left="660"/>
      <w:jc w:val="left"/>
    </w:pPr>
    <w:rPr>
      <w:rFonts w:asciiTheme="minorHAnsi" w:eastAsiaTheme="minorEastAsia" w:hAnsiTheme="minorHAnsi" w:cstheme="minorBidi"/>
      <w:color w:val="auto"/>
      <w:sz w:val="22"/>
      <w:szCs w:val="22"/>
      <w:lang w:val="ru-RU"/>
    </w:rPr>
  </w:style>
  <w:style w:type="paragraph" w:styleId="51">
    <w:name w:val="toc 5"/>
    <w:basedOn w:val="a"/>
    <w:next w:val="a"/>
    <w:autoRedefine/>
    <w:uiPriority w:val="39"/>
    <w:unhideWhenUsed/>
    <w:locked/>
    <w:rsid w:val="00A302B5"/>
    <w:pPr>
      <w:spacing w:after="100" w:line="259" w:lineRule="auto"/>
      <w:ind w:left="880"/>
      <w:jc w:val="left"/>
    </w:pPr>
    <w:rPr>
      <w:rFonts w:asciiTheme="minorHAnsi" w:eastAsiaTheme="minorEastAsia" w:hAnsiTheme="minorHAnsi" w:cstheme="minorBidi"/>
      <w:color w:val="auto"/>
      <w:sz w:val="22"/>
      <w:szCs w:val="22"/>
      <w:lang w:val="ru-RU"/>
    </w:rPr>
  </w:style>
  <w:style w:type="paragraph" w:styleId="61">
    <w:name w:val="toc 6"/>
    <w:basedOn w:val="a"/>
    <w:next w:val="a"/>
    <w:autoRedefine/>
    <w:uiPriority w:val="39"/>
    <w:unhideWhenUsed/>
    <w:locked/>
    <w:rsid w:val="00A302B5"/>
    <w:pPr>
      <w:spacing w:after="100" w:line="259" w:lineRule="auto"/>
      <w:ind w:left="1100"/>
      <w:jc w:val="left"/>
    </w:pPr>
    <w:rPr>
      <w:rFonts w:asciiTheme="minorHAnsi" w:eastAsiaTheme="minorEastAsia" w:hAnsiTheme="minorHAnsi" w:cstheme="minorBidi"/>
      <w:color w:val="auto"/>
      <w:sz w:val="22"/>
      <w:szCs w:val="22"/>
      <w:lang w:val="ru-RU"/>
    </w:rPr>
  </w:style>
  <w:style w:type="paragraph" w:styleId="71">
    <w:name w:val="toc 7"/>
    <w:basedOn w:val="a"/>
    <w:next w:val="a"/>
    <w:autoRedefine/>
    <w:uiPriority w:val="39"/>
    <w:unhideWhenUsed/>
    <w:locked/>
    <w:rsid w:val="00A302B5"/>
    <w:pPr>
      <w:spacing w:after="100" w:line="259" w:lineRule="auto"/>
      <w:ind w:left="1320"/>
      <w:jc w:val="left"/>
    </w:pPr>
    <w:rPr>
      <w:rFonts w:asciiTheme="minorHAnsi" w:eastAsiaTheme="minorEastAsia" w:hAnsiTheme="minorHAnsi" w:cstheme="minorBidi"/>
      <w:color w:val="auto"/>
      <w:sz w:val="22"/>
      <w:szCs w:val="22"/>
      <w:lang w:val="ru-RU"/>
    </w:rPr>
  </w:style>
  <w:style w:type="paragraph" w:styleId="81">
    <w:name w:val="toc 8"/>
    <w:basedOn w:val="a"/>
    <w:next w:val="a"/>
    <w:autoRedefine/>
    <w:uiPriority w:val="39"/>
    <w:unhideWhenUsed/>
    <w:locked/>
    <w:rsid w:val="00A302B5"/>
    <w:pPr>
      <w:spacing w:after="100" w:line="259" w:lineRule="auto"/>
      <w:ind w:left="1540"/>
      <w:jc w:val="left"/>
    </w:pPr>
    <w:rPr>
      <w:rFonts w:asciiTheme="minorHAnsi" w:eastAsiaTheme="minorEastAsia" w:hAnsiTheme="minorHAnsi" w:cstheme="minorBidi"/>
      <w:color w:val="auto"/>
      <w:sz w:val="22"/>
      <w:szCs w:val="22"/>
      <w:lang w:val="ru-RU"/>
    </w:rPr>
  </w:style>
  <w:style w:type="paragraph" w:styleId="91">
    <w:name w:val="toc 9"/>
    <w:basedOn w:val="a"/>
    <w:next w:val="a"/>
    <w:autoRedefine/>
    <w:uiPriority w:val="39"/>
    <w:unhideWhenUsed/>
    <w:locked/>
    <w:rsid w:val="00A302B5"/>
    <w:pPr>
      <w:spacing w:after="100" w:line="259" w:lineRule="auto"/>
      <w:ind w:left="1760"/>
      <w:jc w:val="left"/>
    </w:pPr>
    <w:rPr>
      <w:rFonts w:asciiTheme="minorHAnsi" w:eastAsiaTheme="minorEastAsia" w:hAnsiTheme="minorHAnsi" w:cstheme="minorBidi"/>
      <w:color w:val="auto"/>
      <w:sz w:val="22"/>
      <w:szCs w:val="22"/>
      <w:lang w:val="ru-RU"/>
    </w:rPr>
  </w:style>
  <w:style w:type="character" w:styleId="afa">
    <w:name w:val="Hyperlink"/>
    <w:basedOn w:val="a0"/>
    <w:uiPriority w:val="99"/>
    <w:unhideWhenUsed/>
    <w:rsid w:val="00A302B5"/>
    <w:rPr>
      <w:color w:val="0000FF" w:themeColor="hyperlink"/>
      <w:u w:val="single"/>
    </w:rPr>
  </w:style>
  <w:style w:type="paragraph" w:customStyle="1" w:styleId="afb">
    <w:name w:val="Звіт незалежного аудитора"/>
    <w:basedOn w:val="a"/>
    <w:qFormat/>
    <w:rsid w:val="00345AA0"/>
    <w:pPr>
      <w:spacing w:after="120"/>
      <w:outlineLvl w:val="0"/>
    </w:pPr>
    <w:rPr>
      <w:rFonts w:eastAsia="Calibri"/>
      <w:b/>
      <w:caps/>
      <w:color w:val="002060"/>
      <w:szCs w:val="20"/>
      <w:lang w:eastAsia="en-US"/>
    </w:rPr>
  </w:style>
  <w:style w:type="paragraph" w:customStyle="1" w:styleId="-Mainstyle">
    <w:name w:val="- Main style"/>
    <w:basedOn w:val="a"/>
    <w:qFormat/>
    <w:rsid w:val="000C2A4B"/>
    <w:pPr>
      <w:spacing w:before="120" w:after="120"/>
    </w:pPr>
    <w:rPr>
      <w:lang w:eastAsia="en-US"/>
    </w:rPr>
  </w:style>
  <w:style w:type="character" w:customStyle="1" w:styleId="20">
    <w:name w:val="Заголовок 2 Знак"/>
    <w:basedOn w:val="a0"/>
    <w:link w:val="2"/>
    <w:uiPriority w:val="9"/>
    <w:rsid w:val="001E31A0"/>
    <w:rPr>
      <w:rFonts w:ascii="Arial" w:hAnsi="Arial" w:cs="Arial"/>
      <w:b/>
      <w:color w:val="000000"/>
      <w:szCs w:val="36"/>
      <w:lang w:val="uk-UA"/>
    </w:rPr>
  </w:style>
  <w:style w:type="character" w:customStyle="1" w:styleId="30">
    <w:name w:val="Заголовок 3 Знак"/>
    <w:basedOn w:val="a0"/>
    <w:link w:val="3"/>
    <w:uiPriority w:val="9"/>
    <w:rsid w:val="001E31A0"/>
    <w:rPr>
      <w:rFonts w:ascii="Arial" w:hAnsi="Arial" w:cs="Arial"/>
      <w:b/>
      <w:color w:val="000000"/>
      <w:szCs w:val="28"/>
      <w:lang w:val="uk-UA"/>
    </w:rPr>
  </w:style>
  <w:style w:type="character" w:customStyle="1" w:styleId="40">
    <w:name w:val="Заголовок 4 Знак"/>
    <w:basedOn w:val="a0"/>
    <w:link w:val="4"/>
    <w:rsid w:val="001E31A0"/>
    <w:rPr>
      <w:rFonts w:ascii="Arial" w:hAnsi="Arial" w:cs="Arial"/>
      <w:color w:val="000000"/>
      <w:szCs w:val="24"/>
      <w:lang w:val="uk-UA"/>
    </w:rPr>
  </w:style>
  <w:style w:type="paragraph" w:styleId="HTML">
    <w:name w:val="HTML Preformatted"/>
    <w:basedOn w:val="a"/>
    <w:link w:val="HTML0"/>
    <w:uiPriority w:val="99"/>
    <w:unhideWhenUsed/>
    <w:rsid w:val="000C2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val="ru-RU"/>
    </w:rPr>
  </w:style>
  <w:style w:type="character" w:customStyle="1" w:styleId="HTML0">
    <w:name w:val="Стандартный HTML Знак"/>
    <w:basedOn w:val="a0"/>
    <w:link w:val="HTML"/>
    <w:uiPriority w:val="99"/>
    <w:rsid w:val="000C2A4B"/>
    <w:rPr>
      <w:rFonts w:ascii="Courier New" w:hAnsi="Courier New" w:cs="Courier New"/>
    </w:rPr>
  </w:style>
  <w:style w:type="character" w:customStyle="1" w:styleId="52">
    <w:name w:val="Основной текст (5) + Не полужирный"/>
    <w:basedOn w:val="a0"/>
    <w:rsid w:val="000C2A4B"/>
    <w:rPr>
      <w:rFonts w:ascii="Arial" w:eastAsia="Arial" w:hAnsi="Arial" w:cs="Arial"/>
      <w:b/>
      <w:bCs/>
      <w:i w:val="0"/>
      <w:iCs w:val="0"/>
      <w:smallCaps w:val="0"/>
      <w:strike w:val="0"/>
      <w:color w:val="000000"/>
      <w:spacing w:val="0"/>
      <w:w w:val="100"/>
      <w:position w:val="0"/>
      <w:sz w:val="16"/>
      <w:szCs w:val="16"/>
      <w:u w:val="none"/>
      <w:lang w:val="en-US"/>
    </w:rPr>
  </w:style>
  <w:style w:type="character" w:customStyle="1" w:styleId="af1">
    <w:name w:val="Абзац списка Знак"/>
    <w:basedOn w:val="a0"/>
    <w:link w:val="af0"/>
    <w:uiPriority w:val="34"/>
    <w:locked/>
    <w:rsid w:val="000C2A4B"/>
    <w:rPr>
      <w:rFonts w:ascii="Arial" w:hAnsi="Arial" w:cs="Arial"/>
      <w:color w:val="000000"/>
      <w:szCs w:val="24"/>
      <w:lang w:val="uk-UA"/>
    </w:rPr>
  </w:style>
  <w:style w:type="character" w:customStyle="1" w:styleId="afc">
    <w:name w:val="Основной текст_"/>
    <w:basedOn w:val="a0"/>
    <w:link w:val="62"/>
    <w:rsid w:val="000C2A4B"/>
    <w:rPr>
      <w:rFonts w:eastAsia="Arial"/>
      <w:sz w:val="16"/>
      <w:szCs w:val="16"/>
      <w:shd w:val="clear" w:color="auto" w:fill="FFFFFF"/>
    </w:rPr>
  </w:style>
  <w:style w:type="paragraph" w:customStyle="1" w:styleId="62">
    <w:name w:val="Основной текст6"/>
    <w:basedOn w:val="a"/>
    <w:link w:val="afc"/>
    <w:rsid w:val="000C2A4B"/>
    <w:pPr>
      <w:widowControl w:val="0"/>
      <w:shd w:val="clear" w:color="auto" w:fill="FFFFFF"/>
      <w:spacing w:before="300" w:after="180" w:line="226" w:lineRule="exact"/>
      <w:ind w:hanging="400"/>
      <w:jc w:val="left"/>
    </w:pPr>
    <w:rPr>
      <w:rFonts w:ascii="Times New Roman" w:eastAsia="Arial" w:hAnsi="Times New Roman" w:cs="Times New Roman"/>
      <w:color w:val="auto"/>
      <w:sz w:val="16"/>
      <w:szCs w:val="16"/>
      <w:lang w:val="ru-RU"/>
    </w:rPr>
  </w:style>
  <w:style w:type="character" w:customStyle="1" w:styleId="42">
    <w:name w:val="Основной текст4"/>
    <w:basedOn w:val="afc"/>
    <w:rsid w:val="000C2A4B"/>
    <w:rPr>
      <w:rFonts w:eastAsia="Arial"/>
      <w:color w:val="000000"/>
      <w:spacing w:val="0"/>
      <w:w w:val="100"/>
      <w:position w:val="0"/>
      <w:sz w:val="16"/>
      <w:szCs w:val="16"/>
      <w:u w:val="single"/>
      <w:shd w:val="clear" w:color="auto" w:fill="FFFFFF"/>
      <w:lang w:val="ru-RU"/>
    </w:rPr>
  </w:style>
  <w:style w:type="character" w:customStyle="1" w:styleId="Exact">
    <w:name w:val="Основной текст Exact"/>
    <w:basedOn w:val="afc"/>
    <w:rsid w:val="000C2A4B"/>
    <w:rPr>
      <w:rFonts w:eastAsia="Arial"/>
      <w:b w:val="0"/>
      <w:bCs w:val="0"/>
      <w:i w:val="0"/>
      <w:iCs w:val="0"/>
      <w:smallCaps w:val="0"/>
      <w:strike w:val="0"/>
      <w:color w:val="000000"/>
      <w:spacing w:val="4"/>
      <w:w w:val="100"/>
      <w:position w:val="0"/>
      <w:sz w:val="15"/>
      <w:szCs w:val="15"/>
      <w:u w:val="none"/>
      <w:shd w:val="clear" w:color="auto" w:fill="FFFFFF"/>
      <w:lang w:val="ru-RU"/>
    </w:rPr>
  </w:style>
  <w:style w:type="character" w:customStyle="1" w:styleId="Bodytext19">
    <w:name w:val="Body text (19)_"/>
    <w:basedOn w:val="a0"/>
    <w:link w:val="Bodytext190"/>
    <w:rsid w:val="000C2A4B"/>
    <w:rPr>
      <w:shd w:val="clear" w:color="auto" w:fill="FFFFFF"/>
    </w:rPr>
  </w:style>
  <w:style w:type="paragraph" w:customStyle="1" w:styleId="Bodytext190">
    <w:name w:val="Body text (19)"/>
    <w:basedOn w:val="a"/>
    <w:link w:val="Bodytext19"/>
    <w:rsid w:val="000C2A4B"/>
    <w:pPr>
      <w:shd w:val="clear" w:color="auto" w:fill="FFFFFF"/>
      <w:spacing w:before="60" w:after="540" w:line="0" w:lineRule="atLeast"/>
      <w:ind w:hanging="720"/>
    </w:pPr>
    <w:rPr>
      <w:rFonts w:ascii="Times New Roman" w:hAnsi="Times New Roman" w:cs="Times New Roman"/>
      <w:color w:val="auto"/>
      <w:szCs w:val="20"/>
      <w:lang w:val="ru-RU"/>
    </w:rPr>
  </w:style>
  <w:style w:type="paragraph" w:customStyle="1" w:styleId="0">
    <w:name w:val="0 Без отступа"/>
    <w:basedOn w:val="-Mainstyle"/>
    <w:uiPriority w:val="99"/>
    <w:qFormat/>
    <w:rsid w:val="000C2A4B"/>
    <w:pPr>
      <w:spacing w:before="0" w:after="0"/>
    </w:pPr>
    <w:rPr>
      <w:lang w:val="ru-RU"/>
    </w:rPr>
  </w:style>
  <w:style w:type="character" w:customStyle="1" w:styleId="Heading46">
    <w:name w:val="Heading #4 (6)_"/>
    <w:basedOn w:val="a0"/>
    <w:link w:val="Heading460"/>
    <w:rsid w:val="000C2A4B"/>
    <w:rPr>
      <w:shd w:val="clear" w:color="auto" w:fill="FFFFFF"/>
    </w:rPr>
  </w:style>
  <w:style w:type="paragraph" w:customStyle="1" w:styleId="Heading460">
    <w:name w:val="Heading #4 (6)"/>
    <w:basedOn w:val="a"/>
    <w:link w:val="Heading46"/>
    <w:rsid w:val="000C2A4B"/>
    <w:pPr>
      <w:shd w:val="clear" w:color="auto" w:fill="FFFFFF"/>
      <w:spacing w:line="250" w:lineRule="exact"/>
      <w:ind w:hanging="360"/>
      <w:jc w:val="left"/>
      <w:outlineLvl w:val="3"/>
    </w:pPr>
    <w:rPr>
      <w:rFonts w:ascii="Times New Roman" w:hAnsi="Times New Roman" w:cs="Times New Roman"/>
      <w:color w:val="auto"/>
      <w:szCs w:val="20"/>
      <w:lang w:val="ru-RU"/>
    </w:rPr>
  </w:style>
  <w:style w:type="character" w:customStyle="1" w:styleId="rvts11">
    <w:name w:val="rvts11"/>
    <w:basedOn w:val="a0"/>
    <w:rsid w:val="000C2A4B"/>
  </w:style>
  <w:style w:type="character" w:customStyle="1" w:styleId="60">
    <w:name w:val="Заголовок 6 Знак"/>
    <w:basedOn w:val="a0"/>
    <w:link w:val="6"/>
    <w:semiHidden/>
    <w:rsid w:val="00AB3C61"/>
    <w:rPr>
      <w:rFonts w:asciiTheme="majorHAnsi" w:eastAsiaTheme="majorEastAsia" w:hAnsiTheme="majorHAnsi" w:cstheme="majorBidi"/>
      <w:color w:val="243F60" w:themeColor="accent1" w:themeShade="7F"/>
      <w:szCs w:val="24"/>
      <w:lang w:val="uk-UA"/>
    </w:rPr>
  </w:style>
  <w:style w:type="character" w:customStyle="1" w:styleId="70">
    <w:name w:val="Заголовок 7 Знак"/>
    <w:basedOn w:val="a0"/>
    <w:link w:val="7"/>
    <w:semiHidden/>
    <w:rsid w:val="00AB3C61"/>
    <w:rPr>
      <w:rFonts w:asciiTheme="majorHAnsi" w:eastAsiaTheme="majorEastAsia" w:hAnsiTheme="majorHAnsi" w:cstheme="majorBidi"/>
      <w:i/>
      <w:iCs/>
      <w:color w:val="243F60" w:themeColor="accent1" w:themeShade="7F"/>
      <w:szCs w:val="24"/>
      <w:lang w:val="uk-UA"/>
    </w:rPr>
  </w:style>
  <w:style w:type="character" w:customStyle="1" w:styleId="80">
    <w:name w:val="Заголовок 8 Знак"/>
    <w:basedOn w:val="a0"/>
    <w:link w:val="8"/>
    <w:semiHidden/>
    <w:rsid w:val="00AB3C61"/>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semiHidden/>
    <w:rsid w:val="00AB3C61"/>
    <w:rPr>
      <w:rFonts w:asciiTheme="majorHAnsi" w:eastAsiaTheme="majorEastAsia" w:hAnsiTheme="majorHAnsi" w:cstheme="majorBidi"/>
      <w:i/>
      <w:iCs/>
      <w:color w:val="272727" w:themeColor="text1" w:themeTint="D8"/>
      <w:sz w:val="21"/>
      <w:szCs w:val="21"/>
      <w:lang w:val="uk-UA"/>
    </w:rPr>
  </w:style>
  <w:style w:type="character" w:styleId="afd">
    <w:name w:val="Strong"/>
    <w:basedOn w:val="a0"/>
    <w:uiPriority w:val="22"/>
    <w:qFormat/>
    <w:locked/>
    <w:rsid w:val="000D253B"/>
    <w:rPr>
      <w:b/>
      <w:bCs/>
    </w:rPr>
  </w:style>
  <w:style w:type="paragraph" w:customStyle="1" w:styleId="TableParagraph">
    <w:name w:val="Table Paragraph"/>
    <w:basedOn w:val="a"/>
    <w:uiPriority w:val="1"/>
    <w:qFormat/>
    <w:rsid w:val="00BF22A2"/>
    <w:pPr>
      <w:widowControl w:val="0"/>
      <w:autoSpaceDE w:val="0"/>
      <w:autoSpaceDN w:val="0"/>
      <w:adjustRightInd w:val="0"/>
      <w:jc w:val="left"/>
    </w:pPr>
    <w:rPr>
      <w:rFonts w:ascii="Times New Roman" w:eastAsiaTheme="minorEastAsia" w:hAnsi="Times New Roman" w:cs="Times New Roman"/>
      <w:color w:val="auto"/>
      <w:sz w:val="24"/>
      <w:lang w:val="ru-RU"/>
    </w:rPr>
  </w:style>
  <w:style w:type="paragraph" w:styleId="afe">
    <w:name w:val="No Spacing"/>
    <w:link w:val="aff"/>
    <w:uiPriority w:val="1"/>
    <w:qFormat/>
    <w:rsid w:val="00467D04"/>
    <w:rPr>
      <w:rFonts w:ascii="Calibri" w:hAnsi="Calibri"/>
      <w:sz w:val="22"/>
      <w:szCs w:val="22"/>
    </w:rPr>
  </w:style>
  <w:style w:type="character" w:customStyle="1" w:styleId="aff">
    <w:name w:val="Без интервала Знак"/>
    <w:link w:val="afe"/>
    <w:uiPriority w:val="1"/>
    <w:rsid w:val="00467D04"/>
    <w:rPr>
      <w:rFonts w:ascii="Calibri" w:hAnsi="Calibri"/>
      <w:sz w:val="22"/>
      <w:szCs w:val="22"/>
    </w:rPr>
  </w:style>
  <w:style w:type="paragraph" w:customStyle="1" w:styleId="rvps2">
    <w:name w:val="rvps2"/>
    <w:basedOn w:val="a"/>
    <w:rsid w:val="00002AE3"/>
    <w:pPr>
      <w:spacing w:before="100" w:beforeAutospacing="1" w:after="100" w:afterAutospacing="1"/>
      <w:jc w:val="left"/>
    </w:pPr>
    <w:rPr>
      <w:rFonts w:ascii="Times New Roman" w:hAnsi="Times New Roman" w:cs="Times New Roman"/>
      <w:color w:val="auto"/>
      <w:sz w:val="24"/>
      <w:lang w:val="ru-RU"/>
    </w:rPr>
  </w:style>
  <w:style w:type="character" w:customStyle="1" w:styleId="highlight">
    <w:name w:val="highlight"/>
    <w:basedOn w:val="a0"/>
    <w:rsid w:val="00B10862"/>
  </w:style>
  <w:style w:type="paragraph" w:customStyle="1" w:styleId="Letterparagraph">
    <w:name w:val="Letter paragraph"/>
    <w:uiPriority w:val="99"/>
    <w:rsid w:val="0028681F"/>
    <w:pPr>
      <w:widowControl w:val="0"/>
      <w:tabs>
        <w:tab w:val="right" w:pos="144"/>
        <w:tab w:val="left" w:pos="504"/>
      </w:tabs>
      <w:autoSpaceDE w:val="0"/>
      <w:autoSpaceDN w:val="0"/>
      <w:adjustRightInd w:val="0"/>
      <w:spacing w:before="72" w:after="72"/>
    </w:pPr>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9">
      <w:bodyDiv w:val="1"/>
      <w:marLeft w:val="0"/>
      <w:marRight w:val="0"/>
      <w:marTop w:val="0"/>
      <w:marBottom w:val="0"/>
      <w:divBdr>
        <w:top w:val="none" w:sz="0" w:space="0" w:color="auto"/>
        <w:left w:val="none" w:sz="0" w:space="0" w:color="auto"/>
        <w:bottom w:val="none" w:sz="0" w:space="0" w:color="auto"/>
        <w:right w:val="none" w:sz="0" w:space="0" w:color="auto"/>
      </w:divBdr>
    </w:div>
    <w:div w:id="8407892">
      <w:bodyDiv w:val="1"/>
      <w:marLeft w:val="0"/>
      <w:marRight w:val="0"/>
      <w:marTop w:val="0"/>
      <w:marBottom w:val="0"/>
      <w:divBdr>
        <w:top w:val="none" w:sz="0" w:space="0" w:color="auto"/>
        <w:left w:val="none" w:sz="0" w:space="0" w:color="auto"/>
        <w:bottom w:val="none" w:sz="0" w:space="0" w:color="auto"/>
        <w:right w:val="none" w:sz="0" w:space="0" w:color="auto"/>
      </w:divBdr>
    </w:div>
    <w:div w:id="9110367">
      <w:bodyDiv w:val="1"/>
      <w:marLeft w:val="0"/>
      <w:marRight w:val="0"/>
      <w:marTop w:val="0"/>
      <w:marBottom w:val="0"/>
      <w:divBdr>
        <w:top w:val="none" w:sz="0" w:space="0" w:color="auto"/>
        <w:left w:val="none" w:sz="0" w:space="0" w:color="auto"/>
        <w:bottom w:val="none" w:sz="0" w:space="0" w:color="auto"/>
        <w:right w:val="none" w:sz="0" w:space="0" w:color="auto"/>
      </w:divBdr>
    </w:div>
    <w:div w:id="14889712">
      <w:bodyDiv w:val="1"/>
      <w:marLeft w:val="0"/>
      <w:marRight w:val="0"/>
      <w:marTop w:val="0"/>
      <w:marBottom w:val="0"/>
      <w:divBdr>
        <w:top w:val="none" w:sz="0" w:space="0" w:color="auto"/>
        <w:left w:val="none" w:sz="0" w:space="0" w:color="auto"/>
        <w:bottom w:val="none" w:sz="0" w:space="0" w:color="auto"/>
        <w:right w:val="none" w:sz="0" w:space="0" w:color="auto"/>
      </w:divBdr>
    </w:div>
    <w:div w:id="30695239">
      <w:bodyDiv w:val="1"/>
      <w:marLeft w:val="0"/>
      <w:marRight w:val="0"/>
      <w:marTop w:val="0"/>
      <w:marBottom w:val="0"/>
      <w:divBdr>
        <w:top w:val="none" w:sz="0" w:space="0" w:color="auto"/>
        <w:left w:val="none" w:sz="0" w:space="0" w:color="auto"/>
        <w:bottom w:val="none" w:sz="0" w:space="0" w:color="auto"/>
        <w:right w:val="none" w:sz="0" w:space="0" w:color="auto"/>
      </w:divBdr>
    </w:div>
    <w:div w:id="44987300">
      <w:bodyDiv w:val="1"/>
      <w:marLeft w:val="0"/>
      <w:marRight w:val="0"/>
      <w:marTop w:val="0"/>
      <w:marBottom w:val="0"/>
      <w:divBdr>
        <w:top w:val="none" w:sz="0" w:space="0" w:color="auto"/>
        <w:left w:val="none" w:sz="0" w:space="0" w:color="auto"/>
        <w:bottom w:val="none" w:sz="0" w:space="0" w:color="auto"/>
        <w:right w:val="none" w:sz="0" w:space="0" w:color="auto"/>
      </w:divBdr>
    </w:div>
    <w:div w:id="45956616">
      <w:bodyDiv w:val="1"/>
      <w:marLeft w:val="0"/>
      <w:marRight w:val="0"/>
      <w:marTop w:val="0"/>
      <w:marBottom w:val="0"/>
      <w:divBdr>
        <w:top w:val="none" w:sz="0" w:space="0" w:color="auto"/>
        <w:left w:val="none" w:sz="0" w:space="0" w:color="auto"/>
        <w:bottom w:val="none" w:sz="0" w:space="0" w:color="auto"/>
        <w:right w:val="none" w:sz="0" w:space="0" w:color="auto"/>
      </w:divBdr>
    </w:div>
    <w:div w:id="59712800">
      <w:bodyDiv w:val="1"/>
      <w:marLeft w:val="0"/>
      <w:marRight w:val="0"/>
      <w:marTop w:val="0"/>
      <w:marBottom w:val="0"/>
      <w:divBdr>
        <w:top w:val="none" w:sz="0" w:space="0" w:color="auto"/>
        <w:left w:val="none" w:sz="0" w:space="0" w:color="auto"/>
        <w:bottom w:val="none" w:sz="0" w:space="0" w:color="auto"/>
        <w:right w:val="none" w:sz="0" w:space="0" w:color="auto"/>
      </w:divBdr>
    </w:div>
    <w:div w:id="65996893">
      <w:bodyDiv w:val="1"/>
      <w:marLeft w:val="0"/>
      <w:marRight w:val="0"/>
      <w:marTop w:val="0"/>
      <w:marBottom w:val="0"/>
      <w:divBdr>
        <w:top w:val="none" w:sz="0" w:space="0" w:color="auto"/>
        <w:left w:val="none" w:sz="0" w:space="0" w:color="auto"/>
        <w:bottom w:val="none" w:sz="0" w:space="0" w:color="auto"/>
        <w:right w:val="none" w:sz="0" w:space="0" w:color="auto"/>
      </w:divBdr>
    </w:div>
    <w:div w:id="72822389">
      <w:bodyDiv w:val="1"/>
      <w:marLeft w:val="0"/>
      <w:marRight w:val="0"/>
      <w:marTop w:val="0"/>
      <w:marBottom w:val="0"/>
      <w:divBdr>
        <w:top w:val="none" w:sz="0" w:space="0" w:color="auto"/>
        <w:left w:val="none" w:sz="0" w:space="0" w:color="auto"/>
        <w:bottom w:val="none" w:sz="0" w:space="0" w:color="auto"/>
        <w:right w:val="none" w:sz="0" w:space="0" w:color="auto"/>
      </w:divBdr>
    </w:div>
    <w:div w:id="74667577">
      <w:bodyDiv w:val="1"/>
      <w:marLeft w:val="0"/>
      <w:marRight w:val="0"/>
      <w:marTop w:val="0"/>
      <w:marBottom w:val="0"/>
      <w:divBdr>
        <w:top w:val="none" w:sz="0" w:space="0" w:color="auto"/>
        <w:left w:val="none" w:sz="0" w:space="0" w:color="auto"/>
        <w:bottom w:val="none" w:sz="0" w:space="0" w:color="auto"/>
        <w:right w:val="none" w:sz="0" w:space="0" w:color="auto"/>
      </w:divBdr>
    </w:div>
    <w:div w:id="83035513">
      <w:bodyDiv w:val="1"/>
      <w:marLeft w:val="0"/>
      <w:marRight w:val="0"/>
      <w:marTop w:val="0"/>
      <w:marBottom w:val="0"/>
      <w:divBdr>
        <w:top w:val="none" w:sz="0" w:space="0" w:color="auto"/>
        <w:left w:val="none" w:sz="0" w:space="0" w:color="auto"/>
        <w:bottom w:val="none" w:sz="0" w:space="0" w:color="auto"/>
        <w:right w:val="none" w:sz="0" w:space="0" w:color="auto"/>
      </w:divBdr>
    </w:div>
    <w:div w:id="103622569">
      <w:bodyDiv w:val="1"/>
      <w:marLeft w:val="0"/>
      <w:marRight w:val="0"/>
      <w:marTop w:val="0"/>
      <w:marBottom w:val="0"/>
      <w:divBdr>
        <w:top w:val="none" w:sz="0" w:space="0" w:color="auto"/>
        <w:left w:val="none" w:sz="0" w:space="0" w:color="auto"/>
        <w:bottom w:val="none" w:sz="0" w:space="0" w:color="auto"/>
        <w:right w:val="none" w:sz="0" w:space="0" w:color="auto"/>
      </w:divBdr>
    </w:div>
    <w:div w:id="117573078">
      <w:bodyDiv w:val="1"/>
      <w:marLeft w:val="0"/>
      <w:marRight w:val="0"/>
      <w:marTop w:val="0"/>
      <w:marBottom w:val="0"/>
      <w:divBdr>
        <w:top w:val="none" w:sz="0" w:space="0" w:color="auto"/>
        <w:left w:val="none" w:sz="0" w:space="0" w:color="auto"/>
        <w:bottom w:val="none" w:sz="0" w:space="0" w:color="auto"/>
        <w:right w:val="none" w:sz="0" w:space="0" w:color="auto"/>
      </w:divBdr>
    </w:div>
    <w:div w:id="124469720">
      <w:bodyDiv w:val="1"/>
      <w:marLeft w:val="0"/>
      <w:marRight w:val="0"/>
      <w:marTop w:val="0"/>
      <w:marBottom w:val="0"/>
      <w:divBdr>
        <w:top w:val="none" w:sz="0" w:space="0" w:color="auto"/>
        <w:left w:val="none" w:sz="0" w:space="0" w:color="auto"/>
        <w:bottom w:val="none" w:sz="0" w:space="0" w:color="auto"/>
        <w:right w:val="none" w:sz="0" w:space="0" w:color="auto"/>
      </w:divBdr>
    </w:div>
    <w:div w:id="130172110">
      <w:bodyDiv w:val="1"/>
      <w:marLeft w:val="0"/>
      <w:marRight w:val="0"/>
      <w:marTop w:val="0"/>
      <w:marBottom w:val="0"/>
      <w:divBdr>
        <w:top w:val="none" w:sz="0" w:space="0" w:color="auto"/>
        <w:left w:val="none" w:sz="0" w:space="0" w:color="auto"/>
        <w:bottom w:val="none" w:sz="0" w:space="0" w:color="auto"/>
        <w:right w:val="none" w:sz="0" w:space="0" w:color="auto"/>
      </w:divBdr>
    </w:div>
    <w:div w:id="134031233">
      <w:bodyDiv w:val="1"/>
      <w:marLeft w:val="0"/>
      <w:marRight w:val="0"/>
      <w:marTop w:val="0"/>
      <w:marBottom w:val="0"/>
      <w:divBdr>
        <w:top w:val="none" w:sz="0" w:space="0" w:color="auto"/>
        <w:left w:val="none" w:sz="0" w:space="0" w:color="auto"/>
        <w:bottom w:val="none" w:sz="0" w:space="0" w:color="auto"/>
        <w:right w:val="none" w:sz="0" w:space="0" w:color="auto"/>
      </w:divBdr>
    </w:div>
    <w:div w:id="136148622">
      <w:bodyDiv w:val="1"/>
      <w:marLeft w:val="0"/>
      <w:marRight w:val="0"/>
      <w:marTop w:val="0"/>
      <w:marBottom w:val="0"/>
      <w:divBdr>
        <w:top w:val="none" w:sz="0" w:space="0" w:color="auto"/>
        <w:left w:val="none" w:sz="0" w:space="0" w:color="auto"/>
        <w:bottom w:val="none" w:sz="0" w:space="0" w:color="auto"/>
        <w:right w:val="none" w:sz="0" w:space="0" w:color="auto"/>
      </w:divBdr>
    </w:div>
    <w:div w:id="136998074">
      <w:bodyDiv w:val="1"/>
      <w:marLeft w:val="0"/>
      <w:marRight w:val="0"/>
      <w:marTop w:val="0"/>
      <w:marBottom w:val="0"/>
      <w:divBdr>
        <w:top w:val="none" w:sz="0" w:space="0" w:color="auto"/>
        <w:left w:val="none" w:sz="0" w:space="0" w:color="auto"/>
        <w:bottom w:val="none" w:sz="0" w:space="0" w:color="auto"/>
        <w:right w:val="none" w:sz="0" w:space="0" w:color="auto"/>
      </w:divBdr>
    </w:div>
    <w:div w:id="138108584">
      <w:bodyDiv w:val="1"/>
      <w:marLeft w:val="0"/>
      <w:marRight w:val="0"/>
      <w:marTop w:val="0"/>
      <w:marBottom w:val="0"/>
      <w:divBdr>
        <w:top w:val="none" w:sz="0" w:space="0" w:color="auto"/>
        <w:left w:val="none" w:sz="0" w:space="0" w:color="auto"/>
        <w:bottom w:val="none" w:sz="0" w:space="0" w:color="auto"/>
        <w:right w:val="none" w:sz="0" w:space="0" w:color="auto"/>
      </w:divBdr>
    </w:div>
    <w:div w:id="150146382">
      <w:bodyDiv w:val="1"/>
      <w:marLeft w:val="0"/>
      <w:marRight w:val="0"/>
      <w:marTop w:val="0"/>
      <w:marBottom w:val="0"/>
      <w:divBdr>
        <w:top w:val="none" w:sz="0" w:space="0" w:color="auto"/>
        <w:left w:val="none" w:sz="0" w:space="0" w:color="auto"/>
        <w:bottom w:val="none" w:sz="0" w:space="0" w:color="auto"/>
        <w:right w:val="none" w:sz="0" w:space="0" w:color="auto"/>
      </w:divBdr>
      <w:divsChild>
        <w:div w:id="432481967">
          <w:marLeft w:val="0"/>
          <w:marRight w:val="0"/>
          <w:marTop w:val="0"/>
          <w:marBottom w:val="0"/>
          <w:divBdr>
            <w:top w:val="none" w:sz="0" w:space="0" w:color="auto"/>
            <w:left w:val="none" w:sz="0" w:space="0" w:color="auto"/>
            <w:bottom w:val="none" w:sz="0" w:space="0" w:color="auto"/>
            <w:right w:val="none" w:sz="0" w:space="0" w:color="auto"/>
          </w:divBdr>
          <w:divsChild>
            <w:div w:id="1397126837">
              <w:marLeft w:val="0"/>
              <w:marRight w:val="0"/>
              <w:marTop w:val="0"/>
              <w:marBottom w:val="0"/>
              <w:divBdr>
                <w:top w:val="none" w:sz="0" w:space="0" w:color="auto"/>
                <w:left w:val="none" w:sz="0" w:space="0" w:color="auto"/>
                <w:bottom w:val="none" w:sz="0" w:space="0" w:color="auto"/>
                <w:right w:val="none" w:sz="0" w:space="0" w:color="auto"/>
              </w:divBdr>
              <w:divsChild>
                <w:div w:id="759720676">
                  <w:marLeft w:val="0"/>
                  <w:marRight w:val="0"/>
                  <w:marTop w:val="0"/>
                  <w:marBottom w:val="0"/>
                  <w:divBdr>
                    <w:top w:val="none" w:sz="0" w:space="0" w:color="auto"/>
                    <w:left w:val="none" w:sz="0" w:space="0" w:color="auto"/>
                    <w:bottom w:val="none" w:sz="0" w:space="0" w:color="auto"/>
                    <w:right w:val="none" w:sz="0" w:space="0" w:color="auto"/>
                  </w:divBdr>
                  <w:divsChild>
                    <w:div w:id="1062290571">
                      <w:marLeft w:val="0"/>
                      <w:marRight w:val="0"/>
                      <w:marTop w:val="0"/>
                      <w:marBottom w:val="0"/>
                      <w:divBdr>
                        <w:top w:val="none" w:sz="0" w:space="0" w:color="auto"/>
                        <w:left w:val="none" w:sz="0" w:space="0" w:color="auto"/>
                        <w:bottom w:val="none" w:sz="0" w:space="0" w:color="auto"/>
                        <w:right w:val="none" w:sz="0" w:space="0" w:color="auto"/>
                      </w:divBdr>
                      <w:divsChild>
                        <w:div w:id="614218781">
                          <w:marLeft w:val="0"/>
                          <w:marRight w:val="0"/>
                          <w:marTop w:val="0"/>
                          <w:marBottom w:val="0"/>
                          <w:divBdr>
                            <w:top w:val="none" w:sz="0" w:space="0" w:color="auto"/>
                            <w:left w:val="none" w:sz="0" w:space="0" w:color="auto"/>
                            <w:bottom w:val="none" w:sz="0" w:space="0" w:color="auto"/>
                            <w:right w:val="none" w:sz="0" w:space="0" w:color="auto"/>
                          </w:divBdr>
                          <w:divsChild>
                            <w:div w:id="1646086253">
                              <w:marLeft w:val="0"/>
                              <w:marRight w:val="0"/>
                              <w:marTop w:val="0"/>
                              <w:marBottom w:val="0"/>
                              <w:divBdr>
                                <w:top w:val="none" w:sz="0" w:space="0" w:color="auto"/>
                                <w:left w:val="none" w:sz="0" w:space="0" w:color="auto"/>
                                <w:bottom w:val="none" w:sz="0" w:space="0" w:color="auto"/>
                                <w:right w:val="none" w:sz="0" w:space="0" w:color="auto"/>
                              </w:divBdr>
                              <w:divsChild>
                                <w:div w:id="1621838736">
                                  <w:marLeft w:val="0"/>
                                  <w:marRight w:val="0"/>
                                  <w:marTop w:val="0"/>
                                  <w:marBottom w:val="0"/>
                                  <w:divBdr>
                                    <w:top w:val="none" w:sz="0" w:space="0" w:color="auto"/>
                                    <w:left w:val="none" w:sz="0" w:space="0" w:color="auto"/>
                                    <w:bottom w:val="none" w:sz="0" w:space="0" w:color="auto"/>
                                    <w:right w:val="none" w:sz="0" w:space="0" w:color="auto"/>
                                  </w:divBdr>
                                  <w:divsChild>
                                    <w:div w:id="670448526">
                                      <w:marLeft w:val="0"/>
                                      <w:marRight w:val="0"/>
                                      <w:marTop w:val="0"/>
                                      <w:marBottom w:val="0"/>
                                      <w:divBdr>
                                        <w:top w:val="none" w:sz="0" w:space="0" w:color="auto"/>
                                        <w:left w:val="none" w:sz="0" w:space="0" w:color="auto"/>
                                        <w:bottom w:val="none" w:sz="0" w:space="0" w:color="auto"/>
                                        <w:right w:val="none" w:sz="0" w:space="0" w:color="auto"/>
                                      </w:divBdr>
                                      <w:divsChild>
                                        <w:div w:id="338436693">
                                          <w:marLeft w:val="0"/>
                                          <w:marRight w:val="0"/>
                                          <w:marTop w:val="0"/>
                                          <w:marBottom w:val="0"/>
                                          <w:divBdr>
                                            <w:top w:val="none" w:sz="0" w:space="0" w:color="auto"/>
                                            <w:left w:val="none" w:sz="0" w:space="0" w:color="auto"/>
                                            <w:bottom w:val="none" w:sz="0" w:space="0" w:color="auto"/>
                                            <w:right w:val="none" w:sz="0" w:space="0" w:color="auto"/>
                                          </w:divBdr>
                                          <w:divsChild>
                                            <w:div w:id="444808590">
                                              <w:marLeft w:val="0"/>
                                              <w:marRight w:val="0"/>
                                              <w:marTop w:val="0"/>
                                              <w:marBottom w:val="0"/>
                                              <w:divBdr>
                                                <w:top w:val="none" w:sz="0" w:space="0" w:color="auto"/>
                                                <w:left w:val="none" w:sz="0" w:space="0" w:color="auto"/>
                                                <w:bottom w:val="none" w:sz="0" w:space="0" w:color="auto"/>
                                                <w:right w:val="none" w:sz="0" w:space="0" w:color="auto"/>
                                              </w:divBdr>
                                              <w:divsChild>
                                                <w:div w:id="1624968827">
                                                  <w:marLeft w:val="0"/>
                                                  <w:marRight w:val="0"/>
                                                  <w:marTop w:val="0"/>
                                                  <w:marBottom w:val="0"/>
                                                  <w:divBdr>
                                                    <w:top w:val="none" w:sz="0" w:space="0" w:color="auto"/>
                                                    <w:left w:val="none" w:sz="0" w:space="0" w:color="auto"/>
                                                    <w:bottom w:val="none" w:sz="0" w:space="0" w:color="auto"/>
                                                    <w:right w:val="none" w:sz="0" w:space="0" w:color="auto"/>
                                                  </w:divBdr>
                                                  <w:divsChild>
                                                    <w:div w:id="1780685718">
                                                      <w:marLeft w:val="0"/>
                                                      <w:marRight w:val="0"/>
                                                      <w:marTop w:val="0"/>
                                                      <w:marBottom w:val="0"/>
                                                      <w:divBdr>
                                                        <w:top w:val="none" w:sz="0" w:space="0" w:color="auto"/>
                                                        <w:left w:val="none" w:sz="0" w:space="0" w:color="auto"/>
                                                        <w:bottom w:val="none" w:sz="0" w:space="0" w:color="auto"/>
                                                        <w:right w:val="none" w:sz="0" w:space="0" w:color="auto"/>
                                                      </w:divBdr>
                                                      <w:divsChild>
                                                        <w:div w:id="8627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97673">
      <w:bodyDiv w:val="1"/>
      <w:marLeft w:val="0"/>
      <w:marRight w:val="0"/>
      <w:marTop w:val="0"/>
      <w:marBottom w:val="0"/>
      <w:divBdr>
        <w:top w:val="none" w:sz="0" w:space="0" w:color="auto"/>
        <w:left w:val="none" w:sz="0" w:space="0" w:color="auto"/>
        <w:bottom w:val="none" w:sz="0" w:space="0" w:color="auto"/>
        <w:right w:val="none" w:sz="0" w:space="0" w:color="auto"/>
      </w:divBdr>
    </w:div>
    <w:div w:id="165092977">
      <w:bodyDiv w:val="1"/>
      <w:marLeft w:val="0"/>
      <w:marRight w:val="0"/>
      <w:marTop w:val="0"/>
      <w:marBottom w:val="0"/>
      <w:divBdr>
        <w:top w:val="none" w:sz="0" w:space="0" w:color="auto"/>
        <w:left w:val="none" w:sz="0" w:space="0" w:color="auto"/>
        <w:bottom w:val="none" w:sz="0" w:space="0" w:color="auto"/>
        <w:right w:val="none" w:sz="0" w:space="0" w:color="auto"/>
      </w:divBdr>
    </w:div>
    <w:div w:id="193346481">
      <w:bodyDiv w:val="1"/>
      <w:marLeft w:val="0"/>
      <w:marRight w:val="0"/>
      <w:marTop w:val="0"/>
      <w:marBottom w:val="0"/>
      <w:divBdr>
        <w:top w:val="none" w:sz="0" w:space="0" w:color="auto"/>
        <w:left w:val="none" w:sz="0" w:space="0" w:color="auto"/>
        <w:bottom w:val="none" w:sz="0" w:space="0" w:color="auto"/>
        <w:right w:val="none" w:sz="0" w:space="0" w:color="auto"/>
      </w:divBdr>
    </w:div>
    <w:div w:id="214775114">
      <w:bodyDiv w:val="1"/>
      <w:marLeft w:val="0"/>
      <w:marRight w:val="0"/>
      <w:marTop w:val="0"/>
      <w:marBottom w:val="0"/>
      <w:divBdr>
        <w:top w:val="none" w:sz="0" w:space="0" w:color="auto"/>
        <w:left w:val="none" w:sz="0" w:space="0" w:color="auto"/>
        <w:bottom w:val="none" w:sz="0" w:space="0" w:color="auto"/>
        <w:right w:val="none" w:sz="0" w:space="0" w:color="auto"/>
      </w:divBdr>
    </w:div>
    <w:div w:id="221643152">
      <w:bodyDiv w:val="1"/>
      <w:marLeft w:val="0"/>
      <w:marRight w:val="0"/>
      <w:marTop w:val="0"/>
      <w:marBottom w:val="0"/>
      <w:divBdr>
        <w:top w:val="none" w:sz="0" w:space="0" w:color="auto"/>
        <w:left w:val="none" w:sz="0" w:space="0" w:color="auto"/>
        <w:bottom w:val="none" w:sz="0" w:space="0" w:color="auto"/>
        <w:right w:val="none" w:sz="0" w:space="0" w:color="auto"/>
      </w:divBdr>
    </w:div>
    <w:div w:id="235559258">
      <w:bodyDiv w:val="1"/>
      <w:marLeft w:val="0"/>
      <w:marRight w:val="0"/>
      <w:marTop w:val="0"/>
      <w:marBottom w:val="0"/>
      <w:divBdr>
        <w:top w:val="none" w:sz="0" w:space="0" w:color="auto"/>
        <w:left w:val="none" w:sz="0" w:space="0" w:color="auto"/>
        <w:bottom w:val="none" w:sz="0" w:space="0" w:color="auto"/>
        <w:right w:val="none" w:sz="0" w:space="0" w:color="auto"/>
      </w:divBdr>
    </w:div>
    <w:div w:id="238635548">
      <w:bodyDiv w:val="1"/>
      <w:marLeft w:val="0"/>
      <w:marRight w:val="0"/>
      <w:marTop w:val="0"/>
      <w:marBottom w:val="0"/>
      <w:divBdr>
        <w:top w:val="none" w:sz="0" w:space="0" w:color="auto"/>
        <w:left w:val="none" w:sz="0" w:space="0" w:color="auto"/>
        <w:bottom w:val="none" w:sz="0" w:space="0" w:color="auto"/>
        <w:right w:val="none" w:sz="0" w:space="0" w:color="auto"/>
      </w:divBdr>
    </w:div>
    <w:div w:id="248465620">
      <w:bodyDiv w:val="1"/>
      <w:marLeft w:val="0"/>
      <w:marRight w:val="0"/>
      <w:marTop w:val="0"/>
      <w:marBottom w:val="0"/>
      <w:divBdr>
        <w:top w:val="none" w:sz="0" w:space="0" w:color="auto"/>
        <w:left w:val="none" w:sz="0" w:space="0" w:color="auto"/>
        <w:bottom w:val="none" w:sz="0" w:space="0" w:color="auto"/>
        <w:right w:val="none" w:sz="0" w:space="0" w:color="auto"/>
      </w:divBdr>
    </w:div>
    <w:div w:id="254674406">
      <w:bodyDiv w:val="1"/>
      <w:marLeft w:val="0"/>
      <w:marRight w:val="0"/>
      <w:marTop w:val="0"/>
      <w:marBottom w:val="0"/>
      <w:divBdr>
        <w:top w:val="none" w:sz="0" w:space="0" w:color="auto"/>
        <w:left w:val="none" w:sz="0" w:space="0" w:color="auto"/>
        <w:bottom w:val="none" w:sz="0" w:space="0" w:color="auto"/>
        <w:right w:val="none" w:sz="0" w:space="0" w:color="auto"/>
      </w:divBdr>
    </w:div>
    <w:div w:id="256601982">
      <w:bodyDiv w:val="1"/>
      <w:marLeft w:val="0"/>
      <w:marRight w:val="0"/>
      <w:marTop w:val="0"/>
      <w:marBottom w:val="0"/>
      <w:divBdr>
        <w:top w:val="none" w:sz="0" w:space="0" w:color="auto"/>
        <w:left w:val="none" w:sz="0" w:space="0" w:color="auto"/>
        <w:bottom w:val="none" w:sz="0" w:space="0" w:color="auto"/>
        <w:right w:val="none" w:sz="0" w:space="0" w:color="auto"/>
      </w:divBdr>
    </w:div>
    <w:div w:id="257374543">
      <w:bodyDiv w:val="1"/>
      <w:marLeft w:val="0"/>
      <w:marRight w:val="0"/>
      <w:marTop w:val="0"/>
      <w:marBottom w:val="0"/>
      <w:divBdr>
        <w:top w:val="none" w:sz="0" w:space="0" w:color="auto"/>
        <w:left w:val="none" w:sz="0" w:space="0" w:color="auto"/>
        <w:bottom w:val="none" w:sz="0" w:space="0" w:color="auto"/>
        <w:right w:val="none" w:sz="0" w:space="0" w:color="auto"/>
      </w:divBdr>
    </w:div>
    <w:div w:id="271865326">
      <w:bodyDiv w:val="1"/>
      <w:marLeft w:val="0"/>
      <w:marRight w:val="0"/>
      <w:marTop w:val="0"/>
      <w:marBottom w:val="0"/>
      <w:divBdr>
        <w:top w:val="none" w:sz="0" w:space="0" w:color="auto"/>
        <w:left w:val="none" w:sz="0" w:space="0" w:color="auto"/>
        <w:bottom w:val="none" w:sz="0" w:space="0" w:color="auto"/>
        <w:right w:val="none" w:sz="0" w:space="0" w:color="auto"/>
      </w:divBdr>
    </w:div>
    <w:div w:id="275598552">
      <w:bodyDiv w:val="1"/>
      <w:marLeft w:val="0"/>
      <w:marRight w:val="0"/>
      <w:marTop w:val="0"/>
      <w:marBottom w:val="0"/>
      <w:divBdr>
        <w:top w:val="none" w:sz="0" w:space="0" w:color="auto"/>
        <w:left w:val="none" w:sz="0" w:space="0" w:color="auto"/>
        <w:bottom w:val="none" w:sz="0" w:space="0" w:color="auto"/>
        <w:right w:val="none" w:sz="0" w:space="0" w:color="auto"/>
      </w:divBdr>
    </w:div>
    <w:div w:id="279997405">
      <w:bodyDiv w:val="1"/>
      <w:marLeft w:val="0"/>
      <w:marRight w:val="0"/>
      <w:marTop w:val="0"/>
      <w:marBottom w:val="0"/>
      <w:divBdr>
        <w:top w:val="none" w:sz="0" w:space="0" w:color="auto"/>
        <w:left w:val="none" w:sz="0" w:space="0" w:color="auto"/>
        <w:bottom w:val="none" w:sz="0" w:space="0" w:color="auto"/>
        <w:right w:val="none" w:sz="0" w:space="0" w:color="auto"/>
      </w:divBdr>
    </w:div>
    <w:div w:id="286743111">
      <w:bodyDiv w:val="1"/>
      <w:marLeft w:val="0"/>
      <w:marRight w:val="0"/>
      <w:marTop w:val="0"/>
      <w:marBottom w:val="0"/>
      <w:divBdr>
        <w:top w:val="none" w:sz="0" w:space="0" w:color="auto"/>
        <w:left w:val="none" w:sz="0" w:space="0" w:color="auto"/>
        <w:bottom w:val="none" w:sz="0" w:space="0" w:color="auto"/>
        <w:right w:val="none" w:sz="0" w:space="0" w:color="auto"/>
      </w:divBdr>
    </w:div>
    <w:div w:id="294216257">
      <w:bodyDiv w:val="1"/>
      <w:marLeft w:val="0"/>
      <w:marRight w:val="0"/>
      <w:marTop w:val="0"/>
      <w:marBottom w:val="0"/>
      <w:divBdr>
        <w:top w:val="none" w:sz="0" w:space="0" w:color="auto"/>
        <w:left w:val="none" w:sz="0" w:space="0" w:color="auto"/>
        <w:bottom w:val="none" w:sz="0" w:space="0" w:color="auto"/>
        <w:right w:val="none" w:sz="0" w:space="0" w:color="auto"/>
      </w:divBdr>
    </w:div>
    <w:div w:id="294993718">
      <w:bodyDiv w:val="1"/>
      <w:marLeft w:val="0"/>
      <w:marRight w:val="0"/>
      <w:marTop w:val="0"/>
      <w:marBottom w:val="0"/>
      <w:divBdr>
        <w:top w:val="none" w:sz="0" w:space="0" w:color="auto"/>
        <w:left w:val="none" w:sz="0" w:space="0" w:color="auto"/>
        <w:bottom w:val="none" w:sz="0" w:space="0" w:color="auto"/>
        <w:right w:val="none" w:sz="0" w:space="0" w:color="auto"/>
      </w:divBdr>
    </w:div>
    <w:div w:id="299577897">
      <w:bodyDiv w:val="1"/>
      <w:marLeft w:val="0"/>
      <w:marRight w:val="0"/>
      <w:marTop w:val="0"/>
      <w:marBottom w:val="0"/>
      <w:divBdr>
        <w:top w:val="none" w:sz="0" w:space="0" w:color="auto"/>
        <w:left w:val="none" w:sz="0" w:space="0" w:color="auto"/>
        <w:bottom w:val="none" w:sz="0" w:space="0" w:color="auto"/>
        <w:right w:val="none" w:sz="0" w:space="0" w:color="auto"/>
      </w:divBdr>
    </w:div>
    <w:div w:id="313263927">
      <w:bodyDiv w:val="1"/>
      <w:marLeft w:val="0"/>
      <w:marRight w:val="0"/>
      <w:marTop w:val="0"/>
      <w:marBottom w:val="0"/>
      <w:divBdr>
        <w:top w:val="none" w:sz="0" w:space="0" w:color="auto"/>
        <w:left w:val="none" w:sz="0" w:space="0" w:color="auto"/>
        <w:bottom w:val="none" w:sz="0" w:space="0" w:color="auto"/>
        <w:right w:val="none" w:sz="0" w:space="0" w:color="auto"/>
      </w:divBdr>
    </w:div>
    <w:div w:id="329219966">
      <w:bodyDiv w:val="1"/>
      <w:marLeft w:val="0"/>
      <w:marRight w:val="0"/>
      <w:marTop w:val="0"/>
      <w:marBottom w:val="0"/>
      <w:divBdr>
        <w:top w:val="none" w:sz="0" w:space="0" w:color="auto"/>
        <w:left w:val="none" w:sz="0" w:space="0" w:color="auto"/>
        <w:bottom w:val="none" w:sz="0" w:space="0" w:color="auto"/>
        <w:right w:val="none" w:sz="0" w:space="0" w:color="auto"/>
      </w:divBdr>
    </w:div>
    <w:div w:id="329799941">
      <w:bodyDiv w:val="1"/>
      <w:marLeft w:val="0"/>
      <w:marRight w:val="0"/>
      <w:marTop w:val="0"/>
      <w:marBottom w:val="0"/>
      <w:divBdr>
        <w:top w:val="none" w:sz="0" w:space="0" w:color="auto"/>
        <w:left w:val="none" w:sz="0" w:space="0" w:color="auto"/>
        <w:bottom w:val="none" w:sz="0" w:space="0" w:color="auto"/>
        <w:right w:val="none" w:sz="0" w:space="0" w:color="auto"/>
      </w:divBdr>
    </w:div>
    <w:div w:id="333000571">
      <w:bodyDiv w:val="1"/>
      <w:marLeft w:val="0"/>
      <w:marRight w:val="0"/>
      <w:marTop w:val="0"/>
      <w:marBottom w:val="0"/>
      <w:divBdr>
        <w:top w:val="none" w:sz="0" w:space="0" w:color="auto"/>
        <w:left w:val="none" w:sz="0" w:space="0" w:color="auto"/>
        <w:bottom w:val="none" w:sz="0" w:space="0" w:color="auto"/>
        <w:right w:val="none" w:sz="0" w:space="0" w:color="auto"/>
      </w:divBdr>
      <w:divsChild>
        <w:div w:id="325477190">
          <w:marLeft w:val="0"/>
          <w:marRight w:val="0"/>
          <w:marTop w:val="0"/>
          <w:marBottom w:val="0"/>
          <w:divBdr>
            <w:top w:val="none" w:sz="0" w:space="0" w:color="auto"/>
            <w:left w:val="none" w:sz="0" w:space="0" w:color="auto"/>
            <w:bottom w:val="none" w:sz="0" w:space="0" w:color="auto"/>
            <w:right w:val="none" w:sz="0" w:space="0" w:color="auto"/>
          </w:divBdr>
          <w:divsChild>
            <w:div w:id="400298986">
              <w:marLeft w:val="0"/>
              <w:marRight w:val="0"/>
              <w:marTop w:val="0"/>
              <w:marBottom w:val="0"/>
              <w:divBdr>
                <w:top w:val="none" w:sz="0" w:space="0" w:color="auto"/>
                <w:left w:val="none" w:sz="0" w:space="0" w:color="auto"/>
                <w:bottom w:val="none" w:sz="0" w:space="0" w:color="auto"/>
                <w:right w:val="none" w:sz="0" w:space="0" w:color="auto"/>
              </w:divBdr>
              <w:divsChild>
                <w:div w:id="715470445">
                  <w:marLeft w:val="0"/>
                  <w:marRight w:val="0"/>
                  <w:marTop w:val="0"/>
                  <w:marBottom w:val="0"/>
                  <w:divBdr>
                    <w:top w:val="none" w:sz="0" w:space="0" w:color="auto"/>
                    <w:left w:val="none" w:sz="0" w:space="0" w:color="auto"/>
                    <w:bottom w:val="none" w:sz="0" w:space="0" w:color="auto"/>
                    <w:right w:val="none" w:sz="0" w:space="0" w:color="auto"/>
                  </w:divBdr>
                  <w:divsChild>
                    <w:div w:id="1402024157">
                      <w:marLeft w:val="0"/>
                      <w:marRight w:val="0"/>
                      <w:marTop w:val="0"/>
                      <w:marBottom w:val="0"/>
                      <w:divBdr>
                        <w:top w:val="none" w:sz="0" w:space="0" w:color="auto"/>
                        <w:left w:val="none" w:sz="0" w:space="0" w:color="auto"/>
                        <w:bottom w:val="none" w:sz="0" w:space="0" w:color="auto"/>
                        <w:right w:val="none" w:sz="0" w:space="0" w:color="auto"/>
                      </w:divBdr>
                      <w:divsChild>
                        <w:div w:id="1883251513">
                          <w:marLeft w:val="0"/>
                          <w:marRight w:val="0"/>
                          <w:marTop w:val="0"/>
                          <w:marBottom w:val="0"/>
                          <w:divBdr>
                            <w:top w:val="none" w:sz="0" w:space="0" w:color="auto"/>
                            <w:left w:val="none" w:sz="0" w:space="0" w:color="auto"/>
                            <w:bottom w:val="none" w:sz="0" w:space="0" w:color="auto"/>
                            <w:right w:val="none" w:sz="0" w:space="0" w:color="auto"/>
                          </w:divBdr>
                          <w:divsChild>
                            <w:div w:id="276179460">
                              <w:marLeft w:val="0"/>
                              <w:marRight w:val="0"/>
                              <w:marTop w:val="0"/>
                              <w:marBottom w:val="0"/>
                              <w:divBdr>
                                <w:top w:val="none" w:sz="0" w:space="0" w:color="auto"/>
                                <w:left w:val="none" w:sz="0" w:space="0" w:color="auto"/>
                                <w:bottom w:val="none" w:sz="0" w:space="0" w:color="auto"/>
                                <w:right w:val="none" w:sz="0" w:space="0" w:color="auto"/>
                              </w:divBdr>
                              <w:divsChild>
                                <w:div w:id="1792356019">
                                  <w:marLeft w:val="0"/>
                                  <w:marRight w:val="0"/>
                                  <w:marTop w:val="0"/>
                                  <w:marBottom w:val="0"/>
                                  <w:divBdr>
                                    <w:top w:val="none" w:sz="0" w:space="0" w:color="auto"/>
                                    <w:left w:val="none" w:sz="0" w:space="0" w:color="auto"/>
                                    <w:bottom w:val="none" w:sz="0" w:space="0" w:color="auto"/>
                                    <w:right w:val="none" w:sz="0" w:space="0" w:color="auto"/>
                                  </w:divBdr>
                                  <w:divsChild>
                                    <w:div w:id="1220484754">
                                      <w:marLeft w:val="0"/>
                                      <w:marRight w:val="0"/>
                                      <w:marTop w:val="0"/>
                                      <w:marBottom w:val="0"/>
                                      <w:divBdr>
                                        <w:top w:val="none" w:sz="0" w:space="0" w:color="auto"/>
                                        <w:left w:val="none" w:sz="0" w:space="0" w:color="auto"/>
                                        <w:bottom w:val="none" w:sz="0" w:space="0" w:color="auto"/>
                                        <w:right w:val="none" w:sz="0" w:space="0" w:color="auto"/>
                                      </w:divBdr>
                                      <w:divsChild>
                                        <w:div w:id="788741389">
                                          <w:marLeft w:val="0"/>
                                          <w:marRight w:val="0"/>
                                          <w:marTop w:val="0"/>
                                          <w:marBottom w:val="0"/>
                                          <w:divBdr>
                                            <w:top w:val="none" w:sz="0" w:space="0" w:color="auto"/>
                                            <w:left w:val="none" w:sz="0" w:space="0" w:color="auto"/>
                                            <w:bottom w:val="none" w:sz="0" w:space="0" w:color="auto"/>
                                            <w:right w:val="none" w:sz="0" w:space="0" w:color="auto"/>
                                          </w:divBdr>
                                          <w:divsChild>
                                            <w:div w:id="319192164">
                                              <w:marLeft w:val="0"/>
                                              <w:marRight w:val="0"/>
                                              <w:marTop w:val="0"/>
                                              <w:marBottom w:val="0"/>
                                              <w:divBdr>
                                                <w:top w:val="none" w:sz="0" w:space="0" w:color="auto"/>
                                                <w:left w:val="none" w:sz="0" w:space="0" w:color="auto"/>
                                                <w:bottom w:val="none" w:sz="0" w:space="0" w:color="auto"/>
                                                <w:right w:val="none" w:sz="0" w:space="0" w:color="auto"/>
                                              </w:divBdr>
                                              <w:divsChild>
                                                <w:div w:id="1188064211">
                                                  <w:marLeft w:val="0"/>
                                                  <w:marRight w:val="0"/>
                                                  <w:marTop w:val="0"/>
                                                  <w:marBottom w:val="0"/>
                                                  <w:divBdr>
                                                    <w:top w:val="none" w:sz="0" w:space="0" w:color="auto"/>
                                                    <w:left w:val="none" w:sz="0" w:space="0" w:color="auto"/>
                                                    <w:bottom w:val="none" w:sz="0" w:space="0" w:color="auto"/>
                                                    <w:right w:val="none" w:sz="0" w:space="0" w:color="auto"/>
                                                  </w:divBdr>
                                                  <w:divsChild>
                                                    <w:div w:id="31924712">
                                                      <w:marLeft w:val="0"/>
                                                      <w:marRight w:val="0"/>
                                                      <w:marTop w:val="0"/>
                                                      <w:marBottom w:val="0"/>
                                                      <w:divBdr>
                                                        <w:top w:val="none" w:sz="0" w:space="0" w:color="auto"/>
                                                        <w:left w:val="none" w:sz="0" w:space="0" w:color="auto"/>
                                                        <w:bottom w:val="none" w:sz="0" w:space="0" w:color="auto"/>
                                                        <w:right w:val="none" w:sz="0" w:space="0" w:color="auto"/>
                                                      </w:divBdr>
                                                      <w:divsChild>
                                                        <w:div w:id="3882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4962319">
      <w:bodyDiv w:val="1"/>
      <w:marLeft w:val="0"/>
      <w:marRight w:val="0"/>
      <w:marTop w:val="0"/>
      <w:marBottom w:val="0"/>
      <w:divBdr>
        <w:top w:val="none" w:sz="0" w:space="0" w:color="auto"/>
        <w:left w:val="none" w:sz="0" w:space="0" w:color="auto"/>
        <w:bottom w:val="none" w:sz="0" w:space="0" w:color="auto"/>
        <w:right w:val="none" w:sz="0" w:space="0" w:color="auto"/>
      </w:divBdr>
    </w:div>
    <w:div w:id="355085887">
      <w:bodyDiv w:val="1"/>
      <w:marLeft w:val="0"/>
      <w:marRight w:val="0"/>
      <w:marTop w:val="0"/>
      <w:marBottom w:val="0"/>
      <w:divBdr>
        <w:top w:val="none" w:sz="0" w:space="0" w:color="auto"/>
        <w:left w:val="none" w:sz="0" w:space="0" w:color="auto"/>
        <w:bottom w:val="none" w:sz="0" w:space="0" w:color="auto"/>
        <w:right w:val="none" w:sz="0" w:space="0" w:color="auto"/>
      </w:divBdr>
    </w:div>
    <w:div w:id="356319473">
      <w:bodyDiv w:val="1"/>
      <w:marLeft w:val="0"/>
      <w:marRight w:val="0"/>
      <w:marTop w:val="0"/>
      <w:marBottom w:val="0"/>
      <w:divBdr>
        <w:top w:val="none" w:sz="0" w:space="0" w:color="auto"/>
        <w:left w:val="none" w:sz="0" w:space="0" w:color="auto"/>
        <w:bottom w:val="none" w:sz="0" w:space="0" w:color="auto"/>
        <w:right w:val="none" w:sz="0" w:space="0" w:color="auto"/>
      </w:divBdr>
    </w:div>
    <w:div w:id="356540561">
      <w:bodyDiv w:val="1"/>
      <w:marLeft w:val="0"/>
      <w:marRight w:val="0"/>
      <w:marTop w:val="0"/>
      <w:marBottom w:val="0"/>
      <w:divBdr>
        <w:top w:val="none" w:sz="0" w:space="0" w:color="auto"/>
        <w:left w:val="none" w:sz="0" w:space="0" w:color="auto"/>
        <w:bottom w:val="none" w:sz="0" w:space="0" w:color="auto"/>
        <w:right w:val="none" w:sz="0" w:space="0" w:color="auto"/>
      </w:divBdr>
    </w:div>
    <w:div w:id="357701318">
      <w:bodyDiv w:val="1"/>
      <w:marLeft w:val="0"/>
      <w:marRight w:val="0"/>
      <w:marTop w:val="0"/>
      <w:marBottom w:val="0"/>
      <w:divBdr>
        <w:top w:val="none" w:sz="0" w:space="0" w:color="auto"/>
        <w:left w:val="none" w:sz="0" w:space="0" w:color="auto"/>
        <w:bottom w:val="none" w:sz="0" w:space="0" w:color="auto"/>
        <w:right w:val="none" w:sz="0" w:space="0" w:color="auto"/>
      </w:divBdr>
    </w:div>
    <w:div w:id="378480267">
      <w:bodyDiv w:val="1"/>
      <w:marLeft w:val="0"/>
      <w:marRight w:val="0"/>
      <w:marTop w:val="0"/>
      <w:marBottom w:val="0"/>
      <w:divBdr>
        <w:top w:val="none" w:sz="0" w:space="0" w:color="auto"/>
        <w:left w:val="none" w:sz="0" w:space="0" w:color="auto"/>
        <w:bottom w:val="none" w:sz="0" w:space="0" w:color="auto"/>
        <w:right w:val="none" w:sz="0" w:space="0" w:color="auto"/>
      </w:divBdr>
    </w:div>
    <w:div w:id="387187874">
      <w:bodyDiv w:val="1"/>
      <w:marLeft w:val="0"/>
      <w:marRight w:val="0"/>
      <w:marTop w:val="0"/>
      <w:marBottom w:val="0"/>
      <w:divBdr>
        <w:top w:val="none" w:sz="0" w:space="0" w:color="auto"/>
        <w:left w:val="none" w:sz="0" w:space="0" w:color="auto"/>
        <w:bottom w:val="none" w:sz="0" w:space="0" w:color="auto"/>
        <w:right w:val="none" w:sz="0" w:space="0" w:color="auto"/>
      </w:divBdr>
    </w:div>
    <w:div w:id="391738491">
      <w:bodyDiv w:val="1"/>
      <w:marLeft w:val="0"/>
      <w:marRight w:val="0"/>
      <w:marTop w:val="0"/>
      <w:marBottom w:val="0"/>
      <w:divBdr>
        <w:top w:val="none" w:sz="0" w:space="0" w:color="auto"/>
        <w:left w:val="none" w:sz="0" w:space="0" w:color="auto"/>
        <w:bottom w:val="none" w:sz="0" w:space="0" w:color="auto"/>
        <w:right w:val="none" w:sz="0" w:space="0" w:color="auto"/>
      </w:divBdr>
    </w:div>
    <w:div w:id="392895674">
      <w:bodyDiv w:val="1"/>
      <w:marLeft w:val="0"/>
      <w:marRight w:val="0"/>
      <w:marTop w:val="0"/>
      <w:marBottom w:val="0"/>
      <w:divBdr>
        <w:top w:val="none" w:sz="0" w:space="0" w:color="auto"/>
        <w:left w:val="none" w:sz="0" w:space="0" w:color="auto"/>
        <w:bottom w:val="none" w:sz="0" w:space="0" w:color="auto"/>
        <w:right w:val="none" w:sz="0" w:space="0" w:color="auto"/>
      </w:divBdr>
    </w:div>
    <w:div w:id="410198647">
      <w:bodyDiv w:val="1"/>
      <w:marLeft w:val="0"/>
      <w:marRight w:val="0"/>
      <w:marTop w:val="0"/>
      <w:marBottom w:val="0"/>
      <w:divBdr>
        <w:top w:val="none" w:sz="0" w:space="0" w:color="auto"/>
        <w:left w:val="none" w:sz="0" w:space="0" w:color="auto"/>
        <w:bottom w:val="none" w:sz="0" w:space="0" w:color="auto"/>
        <w:right w:val="none" w:sz="0" w:space="0" w:color="auto"/>
      </w:divBdr>
    </w:div>
    <w:div w:id="410472675">
      <w:bodyDiv w:val="1"/>
      <w:marLeft w:val="0"/>
      <w:marRight w:val="0"/>
      <w:marTop w:val="0"/>
      <w:marBottom w:val="0"/>
      <w:divBdr>
        <w:top w:val="none" w:sz="0" w:space="0" w:color="auto"/>
        <w:left w:val="none" w:sz="0" w:space="0" w:color="auto"/>
        <w:bottom w:val="none" w:sz="0" w:space="0" w:color="auto"/>
        <w:right w:val="none" w:sz="0" w:space="0" w:color="auto"/>
      </w:divBdr>
    </w:div>
    <w:div w:id="417600458">
      <w:bodyDiv w:val="1"/>
      <w:marLeft w:val="0"/>
      <w:marRight w:val="0"/>
      <w:marTop w:val="0"/>
      <w:marBottom w:val="0"/>
      <w:divBdr>
        <w:top w:val="none" w:sz="0" w:space="0" w:color="auto"/>
        <w:left w:val="none" w:sz="0" w:space="0" w:color="auto"/>
        <w:bottom w:val="none" w:sz="0" w:space="0" w:color="auto"/>
        <w:right w:val="none" w:sz="0" w:space="0" w:color="auto"/>
      </w:divBdr>
    </w:div>
    <w:div w:id="422649086">
      <w:bodyDiv w:val="1"/>
      <w:marLeft w:val="0"/>
      <w:marRight w:val="0"/>
      <w:marTop w:val="0"/>
      <w:marBottom w:val="0"/>
      <w:divBdr>
        <w:top w:val="none" w:sz="0" w:space="0" w:color="auto"/>
        <w:left w:val="none" w:sz="0" w:space="0" w:color="auto"/>
        <w:bottom w:val="none" w:sz="0" w:space="0" w:color="auto"/>
        <w:right w:val="none" w:sz="0" w:space="0" w:color="auto"/>
      </w:divBdr>
    </w:div>
    <w:div w:id="425734502">
      <w:bodyDiv w:val="1"/>
      <w:marLeft w:val="0"/>
      <w:marRight w:val="0"/>
      <w:marTop w:val="0"/>
      <w:marBottom w:val="0"/>
      <w:divBdr>
        <w:top w:val="none" w:sz="0" w:space="0" w:color="auto"/>
        <w:left w:val="none" w:sz="0" w:space="0" w:color="auto"/>
        <w:bottom w:val="none" w:sz="0" w:space="0" w:color="auto"/>
        <w:right w:val="none" w:sz="0" w:space="0" w:color="auto"/>
      </w:divBdr>
    </w:div>
    <w:div w:id="428504469">
      <w:bodyDiv w:val="1"/>
      <w:marLeft w:val="0"/>
      <w:marRight w:val="0"/>
      <w:marTop w:val="0"/>
      <w:marBottom w:val="0"/>
      <w:divBdr>
        <w:top w:val="none" w:sz="0" w:space="0" w:color="auto"/>
        <w:left w:val="none" w:sz="0" w:space="0" w:color="auto"/>
        <w:bottom w:val="none" w:sz="0" w:space="0" w:color="auto"/>
        <w:right w:val="none" w:sz="0" w:space="0" w:color="auto"/>
      </w:divBdr>
    </w:div>
    <w:div w:id="438529790">
      <w:bodyDiv w:val="1"/>
      <w:marLeft w:val="0"/>
      <w:marRight w:val="0"/>
      <w:marTop w:val="0"/>
      <w:marBottom w:val="0"/>
      <w:divBdr>
        <w:top w:val="none" w:sz="0" w:space="0" w:color="auto"/>
        <w:left w:val="none" w:sz="0" w:space="0" w:color="auto"/>
        <w:bottom w:val="none" w:sz="0" w:space="0" w:color="auto"/>
        <w:right w:val="none" w:sz="0" w:space="0" w:color="auto"/>
      </w:divBdr>
    </w:div>
    <w:div w:id="448471185">
      <w:bodyDiv w:val="1"/>
      <w:marLeft w:val="0"/>
      <w:marRight w:val="0"/>
      <w:marTop w:val="0"/>
      <w:marBottom w:val="0"/>
      <w:divBdr>
        <w:top w:val="none" w:sz="0" w:space="0" w:color="auto"/>
        <w:left w:val="none" w:sz="0" w:space="0" w:color="auto"/>
        <w:bottom w:val="none" w:sz="0" w:space="0" w:color="auto"/>
        <w:right w:val="none" w:sz="0" w:space="0" w:color="auto"/>
      </w:divBdr>
    </w:div>
    <w:div w:id="456533383">
      <w:bodyDiv w:val="1"/>
      <w:marLeft w:val="0"/>
      <w:marRight w:val="0"/>
      <w:marTop w:val="0"/>
      <w:marBottom w:val="0"/>
      <w:divBdr>
        <w:top w:val="none" w:sz="0" w:space="0" w:color="auto"/>
        <w:left w:val="none" w:sz="0" w:space="0" w:color="auto"/>
        <w:bottom w:val="none" w:sz="0" w:space="0" w:color="auto"/>
        <w:right w:val="none" w:sz="0" w:space="0" w:color="auto"/>
      </w:divBdr>
    </w:div>
    <w:div w:id="468979628">
      <w:bodyDiv w:val="1"/>
      <w:marLeft w:val="0"/>
      <w:marRight w:val="0"/>
      <w:marTop w:val="0"/>
      <w:marBottom w:val="0"/>
      <w:divBdr>
        <w:top w:val="none" w:sz="0" w:space="0" w:color="auto"/>
        <w:left w:val="none" w:sz="0" w:space="0" w:color="auto"/>
        <w:bottom w:val="none" w:sz="0" w:space="0" w:color="auto"/>
        <w:right w:val="none" w:sz="0" w:space="0" w:color="auto"/>
      </w:divBdr>
    </w:div>
    <w:div w:id="470252961">
      <w:bodyDiv w:val="1"/>
      <w:marLeft w:val="0"/>
      <w:marRight w:val="0"/>
      <w:marTop w:val="0"/>
      <w:marBottom w:val="0"/>
      <w:divBdr>
        <w:top w:val="none" w:sz="0" w:space="0" w:color="auto"/>
        <w:left w:val="none" w:sz="0" w:space="0" w:color="auto"/>
        <w:bottom w:val="none" w:sz="0" w:space="0" w:color="auto"/>
        <w:right w:val="none" w:sz="0" w:space="0" w:color="auto"/>
      </w:divBdr>
    </w:div>
    <w:div w:id="471598328">
      <w:bodyDiv w:val="1"/>
      <w:marLeft w:val="0"/>
      <w:marRight w:val="0"/>
      <w:marTop w:val="0"/>
      <w:marBottom w:val="0"/>
      <w:divBdr>
        <w:top w:val="none" w:sz="0" w:space="0" w:color="auto"/>
        <w:left w:val="none" w:sz="0" w:space="0" w:color="auto"/>
        <w:bottom w:val="none" w:sz="0" w:space="0" w:color="auto"/>
        <w:right w:val="none" w:sz="0" w:space="0" w:color="auto"/>
      </w:divBdr>
    </w:div>
    <w:div w:id="474033809">
      <w:bodyDiv w:val="1"/>
      <w:marLeft w:val="0"/>
      <w:marRight w:val="0"/>
      <w:marTop w:val="0"/>
      <w:marBottom w:val="0"/>
      <w:divBdr>
        <w:top w:val="none" w:sz="0" w:space="0" w:color="auto"/>
        <w:left w:val="none" w:sz="0" w:space="0" w:color="auto"/>
        <w:bottom w:val="none" w:sz="0" w:space="0" w:color="auto"/>
        <w:right w:val="none" w:sz="0" w:space="0" w:color="auto"/>
      </w:divBdr>
    </w:div>
    <w:div w:id="481460051">
      <w:bodyDiv w:val="1"/>
      <w:marLeft w:val="0"/>
      <w:marRight w:val="0"/>
      <w:marTop w:val="0"/>
      <w:marBottom w:val="0"/>
      <w:divBdr>
        <w:top w:val="none" w:sz="0" w:space="0" w:color="auto"/>
        <w:left w:val="none" w:sz="0" w:space="0" w:color="auto"/>
        <w:bottom w:val="none" w:sz="0" w:space="0" w:color="auto"/>
        <w:right w:val="none" w:sz="0" w:space="0" w:color="auto"/>
      </w:divBdr>
    </w:div>
    <w:div w:id="484977651">
      <w:bodyDiv w:val="1"/>
      <w:marLeft w:val="0"/>
      <w:marRight w:val="0"/>
      <w:marTop w:val="0"/>
      <w:marBottom w:val="0"/>
      <w:divBdr>
        <w:top w:val="none" w:sz="0" w:space="0" w:color="auto"/>
        <w:left w:val="none" w:sz="0" w:space="0" w:color="auto"/>
        <w:bottom w:val="none" w:sz="0" w:space="0" w:color="auto"/>
        <w:right w:val="none" w:sz="0" w:space="0" w:color="auto"/>
      </w:divBdr>
    </w:div>
    <w:div w:id="485636492">
      <w:bodyDiv w:val="1"/>
      <w:marLeft w:val="0"/>
      <w:marRight w:val="0"/>
      <w:marTop w:val="0"/>
      <w:marBottom w:val="0"/>
      <w:divBdr>
        <w:top w:val="none" w:sz="0" w:space="0" w:color="auto"/>
        <w:left w:val="none" w:sz="0" w:space="0" w:color="auto"/>
        <w:bottom w:val="none" w:sz="0" w:space="0" w:color="auto"/>
        <w:right w:val="none" w:sz="0" w:space="0" w:color="auto"/>
      </w:divBdr>
    </w:div>
    <w:div w:id="486046540">
      <w:bodyDiv w:val="1"/>
      <w:marLeft w:val="0"/>
      <w:marRight w:val="0"/>
      <w:marTop w:val="0"/>
      <w:marBottom w:val="0"/>
      <w:divBdr>
        <w:top w:val="none" w:sz="0" w:space="0" w:color="auto"/>
        <w:left w:val="none" w:sz="0" w:space="0" w:color="auto"/>
        <w:bottom w:val="none" w:sz="0" w:space="0" w:color="auto"/>
        <w:right w:val="none" w:sz="0" w:space="0" w:color="auto"/>
      </w:divBdr>
    </w:div>
    <w:div w:id="492724155">
      <w:bodyDiv w:val="1"/>
      <w:marLeft w:val="0"/>
      <w:marRight w:val="0"/>
      <w:marTop w:val="0"/>
      <w:marBottom w:val="0"/>
      <w:divBdr>
        <w:top w:val="none" w:sz="0" w:space="0" w:color="auto"/>
        <w:left w:val="none" w:sz="0" w:space="0" w:color="auto"/>
        <w:bottom w:val="none" w:sz="0" w:space="0" w:color="auto"/>
        <w:right w:val="none" w:sz="0" w:space="0" w:color="auto"/>
      </w:divBdr>
    </w:div>
    <w:div w:id="515851756">
      <w:bodyDiv w:val="1"/>
      <w:marLeft w:val="0"/>
      <w:marRight w:val="0"/>
      <w:marTop w:val="0"/>
      <w:marBottom w:val="0"/>
      <w:divBdr>
        <w:top w:val="none" w:sz="0" w:space="0" w:color="auto"/>
        <w:left w:val="none" w:sz="0" w:space="0" w:color="auto"/>
        <w:bottom w:val="none" w:sz="0" w:space="0" w:color="auto"/>
        <w:right w:val="none" w:sz="0" w:space="0" w:color="auto"/>
      </w:divBdr>
    </w:div>
    <w:div w:id="524251039">
      <w:bodyDiv w:val="1"/>
      <w:marLeft w:val="0"/>
      <w:marRight w:val="0"/>
      <w:marTop w:val="0"/>
      <w:marBottom w:val="0"/>
      <w:divBdr>
        <w:top w:val="none" w:sz="0" w:space="0" w:color="auto"/>
        <w:left w:val="none" w:sz="0" w:space="0" w:color="auto"/>
        <w:bottom w:val="none" w:sz="0" w:space="0" w:color="auto"/>
        <w:right w:val="none" w:sz="0" w:space="0" w:color="auto"/>
      </w:divBdr>
    </w:div>
    <w:div w:id="528417071">
      <w:bodyDiv w:val="1"/>
      <w:marLeft w:val="0"/>
      <w:marRight w:val="0"/>
      <w:marTop w:val="0"/>
      <w:marBottom w:val="0"/>
      <w:divBdr>
        <w:top w:val="none" w:sz="0" w:space="0" w:color="auto"/>
        <w:left w:val="none" w:sz="0" w:space="0" w:color="auto"/>
        <w:bottom w:val="none" w:sz="0" w:space="0" w:color="auto"/>
        <w:right w:val="none" w:sz="0" w:space="0" w:color="auto"/>
      </w:divBdr>
    </w:div>
    <w:div w:id="557789018">
      <w:bodyDiv w:val="1"/>
      <w:marLeft w:val="0"/>
      <w:marRight w:val="0"/>
      <w:marTop w:val="0"/>
      <w:marBottom w:val="0"/>
      <w:divBdr>
        <w:top w:val="none" w:sz="0" w:space="0" w:color="auto"/>
        <w:left w:val="none" w:sz="0" w:space="0" w:color="auto"/>
        <w:bottom w:val="none" w:sz="0" w:space="0" w:color="auto"/>
        <w:right w:val="none" w:sz="0" w:space="0" w:color="auto"/>
      </w:divBdr>
    </w:div>
    <w:div w:id="559369983">
      <w:bodyDiv w:val="1"/>
      <w:marLeft w:val="0"/>
      <w:marRight w:val="0"/>
      <w:marTop w:val="0"/>
      <w:marBottom w:val="0"/>
      <w:divBdr>
        <w:top w:val="none" w:sz="0" w:space="0" w:color="auto"/>
        <w:left w:val="none" w:sz="0" w:space="0" w:color="auto"/>
        <w:bottom w:val="none" w:sz="0" w:space="0" w:color="auto"/>
        <w:right w:val="none" w:sz="0" w:space="0" w:color="auto"/>
      </w:divBdr>
    </w:div>
    <w:div w:id="563104959">
      <w:bodyDiv w:val="1"/>
      <w:marLeft w:val="0"/>
      <w:marRight w:val="0"/>
      <w:marTop w:val="0"/>
      <w:marBottom w:val="0"/>
      <w:divBdr>
        <w:top w:val="none" w:sz="0" w:space="0" w:color="auto"/>
        <w:left w:val="none" w:sz="0" w:space="0" w:color="auto"/>
        <w:bottom w:val="none" w:sz="0" w:space="0" w:color="auto"/>
        <w:right w:val="none" w:sz="0" w:space="0" w:color="auto"/>
      </w:divBdr>
    </w:div>
    <w:div w:id="581259675">
      <w:bodyDiv w:val="1"/>
      <w:marLeft w:val="0"/>
      <w:marRight w:val="0"/>
      <w:marTop w:val="0"/>
      <w:marBottom w:val="0"/>
      <w:divBdr>
        <w:top w:val="none" w:sz="0" w:space="0" w:color="auto"/>
        <w:left w:val="none" w:sz="0" w:space="0" w:color="auto"/>
        <w:bottom w:val="none" w:sz="0" w:space="0" w:color="auto"/>
        <w:right w:val="none" w:sz="0" w:space="0" w:color="auto"/>
      </w:divBdr>
    </w:div>
    <w:div w:id="591477864">
      <w:bodyDiv w:val="1"/>
      <w:marLeft w:val="0"/>
      <w:marRight w:val="0"/>
      <w:marTop w:val="0"/>
      <w:marBottom w:val="0"/>
      <w:divBdr>
        <w:top w:val="none" w:sz="0" w:space="0" w:color="auto"/>
        <w:left w:val="none" w:sz="0" w:space="0" w:color="auto"/>
        <w:bottom w:val="none" w:sz="0" w:space="0" w:color="auto"/>
        <w:right w:val="none" w:sz="0" w:space="0" w:color="auto"/>
      </w:divBdr>
    </w:div>
    <w:div w:id="603805221">
      <w:bodyDiv w:val="1"/>
      <w:marLeft w:val="0"/>
      <w:marRight w:val="0"/>
      <w:marTop w:val="0"/>
      <w:marBottom w:val="0"/>
      <w:divBdr>
        <w:top w:val="none" w:sz="0" w:space="0" w:color="auto"/>
        <w:left w:val="none" w:sz="0" w:space="0" w:color="auto"/>
        <w:bottom w:val="none" w:sz="0" w:space="0" w:color="auto"/>
        <w:right w:val="none" w:sz="0" w:space="0" w:color="auto"/>
      </w:divBdr>
    </w:div>
    <w:div w:id="606811483">
      <w:bodyDiv w:val="1"/>
      <w:marLeft w:val="0"/>
      <w:marRight w:val="0"/>
      <w:marTop w:val="0"/>
      <w:marBottom w:val="0"/>
      <w:divBdr>
        <w:top w:val="none" w:sz="0" w:space="0" w:color="auto"/>
        <w:left w:val="none" w:sz="0" w:space="0" w:color="auto"/>
        <w:bottom w:val="none" w:sz="0" w:space="0" w:color="auto"/>
        <w:right w:val="none" w:sz="0" w:space="0" w:color="auto"/>
      </w:divBdr>
    </w:div>
    <w:div w:id="615913304">
      <w:bodyDiv w:val="1"/>
      <w:marLeft w:val="0"/>
      <w:marRight w:val="0"/>
      <w:marTop w:val="0"/>
      <w:marBottom w:val="0"/>
      <w:divBdr>
        <w:top w:val="none" w:sz="0" w:space="0" w:color="auto"/>
        <w:left w:val="none" w:sz="0" w:space="0" w:color="auto"/>
        <w:bottom w:val="none" w:sz="0" w:space="0" w:color="auto"/>
        <w:right w:val="none" w:sz="0" w:space="0" w:color="auto"/>
      </w:divBdr>
    </w:div>
    <w:div w:id="618681794">
      <w:bodyDiv w:val="1"/>
      <w:marLeft w:val="0"/>
      <w:marRight w:val="0"/>
      <w:marTop w:val="0"/>
      <w:marBottom w:val="0"/>
      <w:divBdr>
        <w:top w:val="none" w:sz="0" w:space="0" w:color="auto"/>
        <w:left w:val="none" w:sz="0" w:space="0" w:color="auto"/>
        <w:bottom w:val="none" w:sz="0" w:space="0" w:color="auto"/>
        <w:right w:val="none" w:sz="0" w:space="0" w:color="auto"/>
      </w:divBdr>
    </w:div>
    <w:div w:id="636182643">
      <w:bodyDiv w:val="1"/>
      <w:marLeft w:val="0"/>
      <w:marRight w:val="0"/>
      <w:marTop w:val="0"/>
      <w:marBottom w:val="0"/>
      <w:divBdr>
        <w:top w:val="none" w:sz="0" w:space="0" w:color="auto"/>
        <w:left w:val="none" w:sz="0" w:space="0" w:color="auto"/>
        <w:bottom w:val="none" w:sz="0" w:space="0" w:color="auto"/>
        <w:right w:val="none" w:sz="0" w:space="0" w:color="auto"/>
      </w:divBdr>
    </w:div>
    <w:div w:id="644822808">
      <w:bodyDiv w:val="1"/>
      <w:marLeft w:val="0"/>
      <w:marRight w:val="0"/>
      <w:marTop w:val="0"/>
      <w:marBottom w:val="0"/>
      <w:divBdr>
        <w:top w:val="none" w:sz="0" w:space="0" w:color="auto"/>
        <w:left w:val="none" w:sz="0" w:space="0" w:color="auto"/>
        <w:bottom w:val="none" w:sz="0" w:space="0" w:color="auto"/>
        <w:right w:val="none" w:sz="0" w:space="0" w:color="auto"/>
      </w:divBdr>
    </w:div>
    <w:div w:id="651132225">
      <w:bodyDiv w:val="1"/>
      <w:marLeft w:val="0"/>
      <w:marRight w:val="0"/>
      <w:marTop w:val="0"/>
      <w:marBottom w:val="0"/>
      <w:divBdr>
        <w:top w:val="none" w:sz="0" w:space="0" w:color="auto"/>
        <w:left w:val="none" w:sz="0" w:space="0" w:color="auto"/>
        <w:bottom w:val="none" w:sz="0" w:space="0" w:color="auto"/>
        <w:right w:val="none" w:sz="0" w:space="0" w:color="auto"/>
      </w:divBdr>
    </w:div>
    <w:div w:id="666056861">
      <w:bodyDiv w:val="1"/>
      <w:marLeft w:val="0"/>
      <w:marRight w:val="0"/>
      <w:marTop w:val="0"/>
      <w:marBottom w:val="0"/>
      <w:divBdr>
        <w:top w:val="none" w:sz="0" w:space="0" w:color="auto"/>
        <w:left w:val="none" w:sz="0" w:space="0" w:color="auto"/>
        <w:bottom w:val="none" w:sz="0" w:space="0" w:color="auto"/>
        <w:right w:val="none" w:sz="0" w:space="0" w:color="auto"/>
      </w:divBdr>
    </w:div>
    <w:div w:id="684593163">
      <w:bodyDiv w:val="1"/>
      <w:marLeft w:val="0"/>
      <w:marRight w:val="0"/>
      <w:marTop w:val="0"/>
      <w:marBottom w:val="0"/>
      <w:divBdr>
        <w:top w:val="none" w:sz="0" w:space="0" w:color="auto"/>
        <w:left w:val="none" w:sz="0" w:space="0" w:color="auto"/>
        <w:bottom w:val="none" w:sz="0" w:space="0" w:color="auto"/>
        <w:right w:val="none" w:sz="0" w:space="0" w:color="auto"/>
      </w:divBdr>
    </w:div>
    <w:div w:id="690298962">
      <w:bodyDiv w:val="1"/>
      <w:marLeft w:val="0"/>
      <w:marRight w:val="0"/>
      <w:marTop w:val="0"/>
      <w:marBottom w:val="0"/>
      <w:divBdr>
        <w:top w:val="none" w:sz="0" w:space="0" w:color="auto"/>
        <w:left w:val="none" w:sz="0" w:space="0" w:color="auto"/>
        <w:bottom w:val="none" w:sz="0" w:space="0" w:color="auto"/>
        <w:right w:val="none" w:sz="0" w:space="0" w:color="auto"/>
      </w:divBdr>
    </w:div>
    <w:div w:id="715737447">
      <w:bodyDiv w:val="1"/>
      <w:marLeft w:val="0"/>
      <w:marRight w:val="0"/>
      <w:marTop w:val="0"/>
      <w:marBottom w:val="0"/>
      <w:divBdr>
        <w:top w:val="none" w:sz="0" w:space="0" w:color="auto"/>
        <w:left w:val="none" w:sz="0" w:space="0" w:color="auto"/>
        <w:bottom w:val="none" w:sz="0" w:space="0" w:color="auto"/>
        <w:right w:val="none" w:sz="0" w:space="0" w:color="auto"/>
      </w:divBdr>
    </w:div>
    <w:div w:id="740836512">
      <w:bodyDiv w:val="1"/>
      <w:marLeft w:val="0"/>
      <w:marRight w:val="0"/>
      <w:marTop w:val="0"/>
      <w:marBottom w:val="0"/>
      <w:divBdr>
        <w:top w:val="none" w:sz="0" w:space="0" w:color="auto"/>
        <w:left w:val="none" w:sz="0" w:space="0" w:color="auto"/>
        <w:bottom w:val="none" w:sz="0" w:space="0" w:color="auto"/>
        <w:right w:val="none" w:sz="0" w:space="0" w:color="auto"/>
      </w:divBdr>
    </w:div>
    <w:div w:id="743601953">
      <w:bodyDiv w:val="1"/>
      <w:marLeft w:val="0"/>
      <w:marRight w:val="0"/>
      <w:marTop w:val="0"/>
      <w:marBottom w:val="0"/>
      <w:divBdr>
        <w:top w:val="none" w:sz="0" w:space="0" w:color="auto"/>
        <w:left w:val="none" w:sz="0" w:space="0" w:color="auto"/>
        <w:bottom w:val="none" w:sz="0" w:space="0" w:color="auto"/>
        <w:right w:val="none" w:sz="0" w:space="0" w:color="auto"/>
      </w:divBdr>
    </w:div>
    <w:div w:id="746611246">
      <w:bodyDiv w:val="1"/>
      <w:marLeft w:val="0"/>
      <w:marRight w:val="0"/>
      <w:marTop w:val="0"/>
      <w:marBottom w:val="0"/>
      <w:divBdr>
        <w:top w:val="none" w:sz="0" w:space="0" w:color="auto"/>
        <w:left w:val="none" w:sz="0" w:space="0" w:color="auto"/>
        <w:bottom w:val="none" w:sz="0" w:space="0" w:color="auto"/>
        <w:right w:val="none" w:sz="0" w:space="0" w:color="auto"/>
      </w:divBdr>
    </w:div>
    <w:div w:id="746851901">
      <w:bodyDiv w:val="1"/>
      <w:marLeft w:val="0"/>
      <w:marRight w:val="0"/>
      <w:marTop w:val="0"/>
      <w:marBottom w:val="0"/>
      <w:divBdr>
        <w:top w:val="none" w:sz="0" w:space="0" w:color="auto"/>
        <w:left w:val="none" w:sz="0" w:space="0" w:color="auto"/>
        <w:bottom w:val="none" w:sz="0" w:space="0" w:color="auto"/>
        <w:right w:val="none" w:sz="0" w:space="0" w:color="auto"/>
      </w:divBdr>
    </w:div>
    <w:div w:id="756753264">
      <w:bodyDiv w:val="1"/>
      <w:marLeft w:val="0"/>
      <w:marRight w:val="0"/>
      <w:marTop w:val="0"/>
      <w:marBottom w:val="0"/>
      <w:divBdr>
        <w:top w:val="none" w:sz="0" w:space="0" w:color="auto"/>
        <w:left w:val="none" w:sz="0" w:space="0" w:color="auto"/>
        <w:bottom w:val="none" w:sz="0" w:space="0" w:color="auto"/>
        <w:right w:val="none" w:sz="0" w:space="0" w:color="auto"/>
      </w:divBdr>
    </w:div>
    <w:div w:id="766341669">
      <w:bodyDiv w:val="1"/>
      <w:marLeft w:val="0"/>
      <w:marRight w:val="0"/>
      <w:marTop w:val="0"/>
      <w:marBottom w:val="0"/>
      <w:divBdr>
        <w:top w:val="none" w:sz="0" w:space="0" w:color="auto"/>
        <w:left w:val="none" w:sz="0" w:space="0" w:color="auto"/>
        <w:bottom w:val="none" w:sz="0" w:space="0" w:color="auto"/>
        <w:right w:val="none" w:sz="0" w:space="0" w:color="auto"/>
      </w:divBdr>
    </w:div>
    <w:div w:id="776410086">
      <w:bodyDiv w:val="1"/>
      <w:marLeft w:val="0"/>
      <w:marRight w:val="0"/>
      <w:marTop w:val="0"/>
      <w:marBottom w:val="0"/>
      <w:divBdr>
        <w:top w:val="none" w:sz="0" w:space="0" w:color="auto"/>
        <w:left w:val="none" w:sz="0" w:space="0" w:color="auto"/>
        <w:bottom w:val="none" w:sz="0" w:space="0" w:color="auto"/>
        <w:right w:val="none" w:sz="0" w:space="0" w:color="auto"/>
      </w:divBdr>
    </w:div>
    <w:div w:id="787359131">
      <w:bodyDiv w:val="1"/>
      <w:marLeft w:val="0"/>
      <w:marRight w:val="0"/>
      <w:marTop w:val="0"/>
      <w:marBottom w:val="0"/>
      <w:divBdr>
        <w:top w:val="none" w:sz="0" w:space="0" w:color="auto"/>
        <w:left w:val="none" w:sz="0" w:space="0" w:color="auto"/>
        <w:bottom w:val="none" w:sz="0" w:space="0" w:color="auto"/>
        <w:right w:val="none" w:sz="0" w:space="0" w:color="auto"/>
      </w:divBdr>
    </w:div>
    <w:div w:id="788815877">
      <w:bodyDiv w:val="1"/>
      <w:marLeft w:val="0"/>
      <w:marRight w:val="0"/>
      <w:marTop w:val="0"/>
      <w:marBottom w:val="0"/>
      <w:divBdr>
        <w:top w:val="none" w:sz="0" w:space="0" w:color="auto"/>
        <w:left w:val="none" w:sz="0" w:space="0" w:color="auto"/>
        <w:bottom w:val="none" w:sz="0" w:space="0" w:color="auto"/>
        <w:right w:val="none" w:sz="0" w:space="0" w:color="auto"/>
      </w:divBdr>
    </w:div>
    <w:div w:id="795803714">
      <w:bodyDiv w:val="1"/>
      <w:marLeft w:val="0"/>
      <w:marRight w:val="0"/>
      <w:marTop w:val="0"/>
      <w:marBottom w:val="0"/>
      <w:divBdr>
        <w:top w:val="none" w:sz="0" w:space="0" w:color="auto"/>
        <w:left w:val="none" w:sz="0" w:space="0" w:color="auto"/>
        <w:bottom w:val="none" w:sz="0" w:space="0" w:color="auto"/>
        <w:right w:val="none" w:sz="0" w:space="0" w:color="auto"/>
      </w:divBdr>
    </w:div>
    <w:div w:id="809788338">
      <w:bodyDiv w:val="1"/>
      <w:marLeft w:val="0"/>
      <w:marRight w:val="0"/>
      <w:marTop w:val="0"/>
      <w:marBottom w:val="0"/>
      <w:divBdr>
        <w:top w:val="none" w:sz="0" w:space="0" w:color="auto"/>
        <w:left w:val="none" w:sz="0" w:space="0" w:color="auto"/>
        <w:bottom w:val="none" w:sz="0" w:space="0" w:color="auto"/>
        <w:right w:val="none" w:sz="0" w:space="0" w:color="auto"/>
      </w:divBdr>
    </w:div>
    <w:div w:id="813176120">
      <w:bodyDiv w:val="1"/>
      <w:marLeft w:val="0"/>
      <w:marRight w:val="0"/>
      <w:marTop w:val="0"/>
      <w:marBottom w:val="0"/>
      <w:divBdr>
        <w:top w:val="none" w:sz="0" w:space="0" w:color="auto"/>
        <w:left w:val="none" w:sz="0" w:space="0" w:color="auto"/>
        <w:bottom w:val="none" w:sz="0" w:space="0" w:color="auto"/>
        <w:right w:val="none" w:sz="0" w:space="0" w:color="auto"/>
      </w:divBdr>
    </w:div>
    <w:div w:id="816537046">
      <w:bodyDiv w:val="1"/>
      <w:marLeft w:val="0"/>
      <w:marRight w:val="0"/>
      <w:marTop w:val="0"/>
      <w:marBottom w:val="0"/>
      <w:divBdr>
        <w:top w:val="none" w:sz="0" w:space="0" w:color="auto"/>
        <w:left w:val="none" w:sz="0" w:space="0" w:color="auto"/>
        <w:bottom w:val="none" w:sz="0" w:space="0" w:color="auto"/>
        <w:right w:val="none" w:sz="0" w:space="0" w:color="auto"/>
      </w:divBdr>
    </w:div>
    <w:div w:id="827870418">
      <w:bodyDiv w:val="1"/>
      <w:marLeft w:val="0"/>
      <w:marRight w:val="0"/>
      <w:marTop w:val="0"/>
      <w:marBottom w:val="0"/>
      <w:divBdr>
        <w:top w:val="none" w:sz="0" w:space="0" w:color="auto"/>
        <w:left w:val="none" w:sz="0" w:space="0" w:color="auto"/>
        <w:bottom w:val="none" w:sz="0" w:space="0" w:color="auto"/>
        <w:right w:val="none" w:sz="0" w:space="0" w:color="auto"/>
      </w:divBdr>
    </w:div>
    <w:div w:id="835613661">
      <w:bodyDiv w:val="1"/>
      <w:marLeft w:val="0"/>
      <w:marRight w:val="0"/>
      <w:marTop w:val="0"/>
      <w:marBottom w:val="0"/>
      <w:divBdr>
        <w:top w:val="none" w:sz="0" w:space="0" w:color="auto"/>
        <w:left w:val="none" w:sz="0" w:space="0" w:color="auto"/>
        <w:bottom w:val="none" w:sz="0" w:space="0" w:color="auto"/>
        <w:right w:val="none" w:sz="0" w:space="0" w:color="auto"/>
      </w:divBdr>
    </w:div>
    <w:div w:id="848373418">
      <w:bodyDiv w:val="1"/>
      <w:marLeft w:val="0"/>
      <w:marRight w:val="0"/>
      <w:marTop w:val="0"/>
      <w:marBottom w:val="0"/>
      <w:divBdr>
        <w:top w:val="none" w:sz="0" w:space="0" w:color="auto"/>
        <w:left w:val="none" w:sz="0" w:space="0" w:color="auto"/>
        <w:bottom w:val="none" w:sz="0" w:space="0" w:color="auto"/>
        <w:right w:val="none" w:sz="0" w:space="0" w:color="auto"/>
      </w:divBdr>
    </w:div>
    <w:div w:id="851527299">
      <w:bodyDiv w:val="1"/>
      <w:marLeft w:val="0"/>
      <w:marRight w:val="0"/>
      <w:marTop w:val="0"/>
      <w:marBottom w:val="0"/>
      <w:divBdr>
        <w:top w:val="none" w:sz="0" w:space="0" w:color="auto"/>
        <w:left w:val="none" w:sz="0" w:space="0" w:color="auto"/>
        <w:bottom w:val="none" w:sz="0" w:space="0" w:color="auto"/>
        <w:right w:val="none" w:sz="0" w:space="0" w:color="auto"/>
      </w:divBdr>
    </w:div>
    <w:div w:id="865096382">
      <w:bodyDiv w:val="1"/>
      <w:marLeft w:val="0"/>
      <w:marRight w:val="0"/>
      <w:marTop w:val="0"/>
      <w:marBottom w:val="0"/>
      <w:divBdr>
        <w:top w:val="none" w:sz="0" w:space="0" w:color="auto"/>
        <w:left w:val="none" w:sz="0" w:space="0" w:color="auto"/>
        <w:bottom w:val="none" w:sz="0" w:space="0" w:color="auto"/>
        <w:right w:val="none" w:sz="0" w:space="0" w:color="auto"/>
      </w:divBdr>
    </w:div>
    <w:div w:id="890846313">
      <w:bodyDiv w:val="1"/>
      <w:marLeft w:val="0"/>
      <w:marRight w:val="0"/>
      <w:marTop w:val="0"/>
      <w:marBottom w:val="0"/>
      <w:divBdr>
        <w:top w:val="none" w:sz="0" w:space="0" w:color="auto"/>
        <w:left w:val="none" w:sz="0" w:space="0" w:color="auto"/>
        <w:bottom w:val="none" w:sz="0" w:space="0" w:color="auto"/>
        <w:right w:val="none" w:sz="0" w:space="0" w:color="auto"/>
      </w:divBdr>
    </w:div>
    <w:div w:id="898978488">
      <w:bodyDiv w:val="1"/>
      <w:marLeft w:val="0"/>
      <w:marRight w:val="0"/>
      <w:marTop w:val="0"/>
      <w:marBottom w:val="0"/>
      <w:divBdr>
        <w:top w:val="none" w:sz="0" w:space="0" w:color="auto"/>
        <w:left w:val="none" w:sz="0" w:space="0" w:color="auto"/>
        <w:bottom w:val="none" w:sz="0" w:space="0" w:color="auto"/>
        <w:right w:val="none" w:sz="0" w:space="0" w:color="auto"/>
      </w:divBdr>
    </w:div>
    <w:div w:id="904992514">
      <w:bodyDiv w:val="1"/>
      <w:marLeft w:val="0"/>
      <w:marRight w:val="0"/>
      <w:marTop w:val="0"/>
      <w:marBottom w:val="0"/>
      <w:divBdr>
        <w:top w:val="none" w:sz="0" w:space="0" w:color="auto"/>
        <w:left w:val="none" w:sz="0" w:space="0" w:color="auto"/>
        <w:bottom w:val="none" w:sz="0" w:space="0" w:color="auto"/>
        <w:right w:val="none" w:sz="0" w:space="0" w:color="auto"/>
      </w:divBdr>
    </w:div>
    <w:div w:id="906036037">
      <w:bodyDiv w:val="1"/>
      <w:marLeft w:val="0"/>
      <w:marRight w:val="0"/>
      <w:marTop w:val="0"/>
      <w:marBottom w:val="0"/>
      <w:divBdr>
        <w:top w:val="none" w:sz="0" w:space="0" w:color="auto"/>
        <w:left w:val="none" w:sz="0" w:space="0" w:color="auto"/>
        <w:bottom w:val="none" w:sz="0" w:space="0" w:color="auto"/>
        <w:right w:val="none" w:sz="0" w:space="0" w:color="auto"/>
      </w:divBdr>
    </w:div>
    <w:div w:id="914049545">
      <w:bodyDiv w:val="1"/>
      <w:marLeft w:val="0"/>
      <w:marRight w:val="0"/>
      <w:marTop w:val="0"/>
      <w:marBottom w:val="0"/>
      <w:divBdr>
        <w:top w:val="none" w:sz="0" w:space="0" w:color="auto"/>
        <w:left w:val="none" w:sz="0" w:space="0" w:color="auto"/>
        <w:bottom w:val="none" w:sz="0" w:space="0" w:color="auto"/>
        <w:right w:val="none" w:sz="0" w:space="0" w:color="auto"/>
      </w:divBdr>
    </w:div>
    <w:div w:id="932708553">
      <w:bodyDiv w:val="1"/>
      <w:marLeft w:val="0"/>
      <w:marRight w:val="0"/>
      <w:marTop w:val="0"/>
      <w:marBottom w:val="0"/>
      <w:divBdr>
        <w:top w:val="none" w:sz="0" w:space="0" w:color="auto"/>
        <w:left w:val="none" w:sz="0" w:space="0" w:color="auto"/>
        <w:bottom w:val="none" w:sz="0" w:space="0" w:color="auto"/>
        <w:right w:val="none" w:sz="0" w:space="0" w:color="auto"/>
      </w:divBdr>
    </w:div>
    <w:div w:id="935097121">
      <w:bodyDiv w:val="1"/>
      <w:marLeft w:val="0"/>
      <w:marRight w:val="0"/>
      <w:marTop w:val="0"/>
      <w:marBottom w:val="0"/>
      <w:divBdr>
        <w:top w:val="none" w:sz="0" w:space="0" w:color="auto"/>
        <w:left w:val="none" w:sz="0" w:space="0" w:color="auto"/>
        <w:bottom w:val="none" w:sz="0" w:space="0" w:color="auto"/>
        <w:right w:val="none" w:sz="0" w:space="0" w:color="auto"/>
      </w:divBdr>
    </w:div>
    <w:div w:id="940183459">
      <w:bodyDiv w:val="1"/>
      <w:marLeft w:val="0"/>
      <w:marRight w:val="0"/>
      <w:marTop w:val="0"/>
      <w:marBottom w:val="0"/>
      <w:divBdr>
        <w:top w:val="none" w:sz="0" w:space="0" w:color="auto"/>
        <w:left w:val="none" w:sz="0" w:space="0" w:color="auto"/>
        <w:bottom w:val="none" w:sz="0" w:space="0" w:color="auto"/>
        <w:right w:val="none" w:sz="0" w:space="0" w:color="auto"/>
      </w:divBdr>
    </w:div>
    <w:div w:id="944263687">
      <w:bodyDiv w:val="1"/>
      <w:marLeft w:val="0"/>
      <w:marRight w:val="0"/>
      <w:marTop w:val="0"/>
      <w:marBottom w:val="0"/>
      <w:divBdr>
        <w:top w:val="none" w:sz="0" w:space="0" w:color="auto"/>
        <w:left w:val="none" w:sz="0" w:space="0" w:color="auto"/>
        <w:bottom w:val="none" w:sz="0" w:space="0" w:color="auto"/>
        <w:right w:val="none" w:sz="0" w:space="0" w:color="auto"/>
      </w:divBdr>
    </w:div>
    <w:div w:id="951135403">
      <w:bodyDiv w:val="1"/>
      <w:marLeft w:val="0"/>
      <w:marRight w:val="0"/>
      <w:marTop w:val="0"/>
      <w:marBottom w:val="0"/>
      <w:divBdr>
        <w:top w:val="none" w:sz="0" w:space="0" w:color="auto"/>
        <w:left w:val="none" w:sz="0" w:space="0" w:color="auto"/>
        <w:bottom w:val="none" w:sz="0" w:space="0" w:color="auto"/>
        <w:right w:val="none" w:sz="0" w:space="0" w:color="auto"/>
      </w:divBdr>
    </w:div>
    <w:div w:id="960498299">
      <w:bodyDiv w:val="1"/>
      <w:marLeft w:val="0"/>
      <w:marRight w:val="0"/>
      <w:marTop w:val="0"/>
      <w:marBottom w:val="0"/>
      <w:divBdr>
        <w:top w:val="none" w:sz="0" w:space="0" w:color="auto"/>
        <w:left w:val="none" w:sz="0" w:space="0" w:color="auto"/>
        <w:bottom w:val="none" w:sz="0" w:space="0" w:color="auto"/>
        <w:right w:val="none" w:sz="0" w:space="0" w:color="auto"/>
      </w:divBdr>
    </w:div>
    <w:div w:id="967786501">
      <w:bodyDiv w:val="1"/>
      <w:marLeft w:val="0"/>
      <w:marRight w:val="0"/>
      <w:marTop w:val="0"/>
      <w:marBottom w:val="0"/>
      <w:divBdr>
        <w:top w:val="none" w:sz="0" w:space="0" w:color="auto"/>
        <w:left w:val="none" w:sz="0" w:space="0" w:color="auto"/>
        <w:bottom w:val="none" w:sz="0" w:space="0" w:color="auto"/>
        <w:right w:val="none" w:sz="0" w:space="0" w:color="auto"/>
      </w:divBdr>
    </w:div>
    <w:div w:id="975716311">
      <w:bodyDiv w:val="1"/>
      <w:marLeft w:val="0"/>
      <w:marRight w:val="0"/>
      <w:marTop w:val="0"/>
      <w:marBottom w:val="0"/>
      <w:divBdr>
        <w:top w:val="none" w:sz="0" w:space="0" w:color="auto"/>
        <w:left w:val="none" w:sz="0" w:space="0" w:color="auto"/>
        <w:bottom w:val="none" w:sz="0" w:space="0" w:color="auto"/>
        <w:right w:val="none" w:sz="0" w:space="0" w:color="auto"/>
      </w:divBdr>
    </w:div>
    <w:div w:id="985083893">
      <w:bodyDiv w:val="1"/>
      <w:marLeft w:val="0"/>
      <w:marRight w:val="0"/>
      <w:marTop w:val="0"/>
      <w:marBottom w:val="0"/>
      <w:divBdr>
        <w:top w:val="none" w:sz="0" w:space="0" w:color="auto"/>
        <w:left w:val="none" w:sz="0" w:space="0" w:color="auto"/>
        <w:bottom w:val="none" w:sz="0" w:space="0" w:color="auto"/>
        <w:right w:val="none" w:sz="0" w:space="0" w:color="auto"/>
      </w:divBdr>
    </w:div>
    <w:div w:id="989485525">
      <w:bodyDiv w:val="1"/>
      <w:marLeft w:val="0"/>
      <w:marRight w:val="0"/>
      <w:marTop w:val="0"/>
      <w:marBottom w:val="0"/>
      <w:divBdr>
        <w:top w:val="none" w:sz="0" w:space="0" w:color="auto"/>
        <w:left w:val="none" w:sz="0" w:space="0" w:color="auto"/>
        <w:bottom w:val="none" w:sz="0" w:space="0" w:color="auto"/>
        <w:right w:val="none" w:sz="0" w:space="0" w:color="auto"/>
      </w:divBdr>
    </w:div>
    <w:div w:id="1024751241">
      <w:bodyDiv w:val="1"/>
      <w:marLeft w:val="0"/>
      <w:marRight w:val="0"/>
      <w:marTop w:val="0"/>
      <w:marBottom w:val="0"/>
      <w:divBdr>
        <w:top w:val="none" w:sz="0" w:space="0" w:color="auto"/>
        <w:left w:val="none" w:sz="0" w:space="0" w:color="auto"/>
        <w:bottom w:val="none" w:sz="0" w:space="0" w:color="auto"/>
        <w:right w:val="none" w:sz="0" w:space="0" w:color="auto"/>
      </w:divBdr>
    </w:div>
    <w:div w:id="1044217242">
      <w:bodyDiv w:val="1"/>
      <w:marLeft w:val="0"/>
      <w:marRight w:val="0"/>
      <w:marTop w:val="0"/>
      <w:marBottom w:val="0"/>
      <w:divBdr>
        <w:top w:val="none" w:sz="0" w:space="0" w:color="auto"/>
        <w:left w:val="none" w:sz="0" w:space="0" w:color="auto"/>
        <w:bottom w:val="none" w:sz="0" w:space="0" w:color="auto"/>
        <w:right w:val="none" w:sz="0" w:space="0" w:color="auto"/>
      </w:divBdr>
    </w:div>
    <w:div w:id="1051542437">
      <w:bodyDiv w:val="1"/>
      <w:marLeft w:val="0"/>
      <w:marRight w:val="0"/>
      <w:marTop w:val="0"/>
      <w:marBottom w:val="0"/>
      <w:divBdr>
        <w:top w:val="none" w:sz="0" w:space="0" w:color="auto"/>
        <w:left w:val="none" w:sz="0" w:space="0" w:color="auto"/>
        <w:bottom w:val="none" w:sz="0" w:space="0" w:color="auto"/>
        <w:right w:val="none" w:sz="0" w:space="0" w:color="auto"/>
      </w:divBdr>
    </w:div>
    <w:div w:id="1057053171">
      <w:bodyDiv w:val="1"/>
      <w:marLeft w:val="0"/>
      <w:marRight w:val="0"/>
      <w:marTop w:val="0"/>
      <w:marBottom w:val="0"/>
      <w:divBdr>
        <w:top w:val="none" w:sz="0" w:space="0" w:color="auto"/>
        <w:left w:val="none" w:sz="0" w:space="0" w:color="auto"/>
        <w:bottom w:val="none" w:sz="0" w:space="0" w:color="auto"/>
        <w:right w:val="none" w:sz="0" w:space="0" w:color="auto"/>
      </w:divBdr>
    </w:div>
    <w:div w:id="1057783070">
      <w:bodyDiv w:val="1"/>
      <w:marLeft w:val="0"/>
      <w:marRight w:val="0"/>
      <w:marTop w:val="0"/>
      <w:marBottom w:val="0"/>
      <w:divBdr>
        <w:top w:val="none" w:sz="0" w:space="0" w:color="auto"/>
        <w:left w:val="none" w:sz="0" w:space="0" w:color="auto"/>
        <w:bottom w:val="none" w:sz="0" w:space="0" w:color="auto"/>
        <w:right w:val="none" w:sz="0" w:space="0" w:color="auto"/>
      </w:divBdr>
    </w:div>
    <w:div w:id="1062171702">
      <w:bodyDiv w:val="1"/>
      <w:marLeft w:val="0"/>
      <w:marRight w:val="0"/>
      <w:marTop w:val="0"/>
      <w:marBottom w:val="0"/>
      <w:divBdr>
        <w:top w:val="none" w:sz="0" w:space="0" w:color="auto"/>
        <w:left w:val="none" w:sz="0" w:space="0" w:color="auto"/>
        <w:bottom w:val="none" w:sz="0" w:space="0" w:color="auto"/>
        <w:right w:val="none" w:sz="0" w:space="0" w:color="auto"/>
      </w:divBdr>
    </w:div>
    <w:div w:id="1062823809">
      <w:bodyDiv w:val="1"/>
      <w:marLeft w:val="0"/>
      <w:marRight w:val="0"/>
      <w:marTop w:val="0"/>
      <w:marBottom w:val="0"/>
      <w:divBdr>
        <w:top w:val="none" w:sz="0" w:space="0" w:color="auto"/>
        <w:left w:val="none" w:sz="0" w:space="0" w:color="auto"/>
        <w:bottom w:val="none" w:sz="0" w:space="0" w:color="auto"/>
        <w:right w:val="none" w:sz="0" w:space="0" w:color="auto"/>
      </w:divBdr>
    </w:div>
    <w:div w:id="1076323059">
      <w:bodyDiv w:val="1"/>
      <w:marLeft w:val="0"/>
      <w:marRight w:val="0"/>
      <w:marTop w:val="0"/>
      <w:marBottom w:val="0"/>
      <w:divBdr>
        <w:top w:val="none" w:sz="0" w:space="0" w:color="auto"/>
        <w:left w:val="none" w:sz="0" w:space="0" w:color="auto"/>
        <w:bottom w:val="none" w:sz="0" w:space="0" w:color="auto"/>
        <w:right w:val="none" w:sz="0" w:space="0" w:color="auto"/>
      </w:divBdr>
    </w:div>
    <w:div w:id="1078164733">
      <w:bodyDiv w:val="1"/>
      <w:marLeft w:val="0"/>
      <w:marRight w:val="0"/>
      <w:marTop w:val="0"/>
      <w:marBottom w:val="0"/>
      <w:divBdr>
        <w:top w:val="none" w:sz="0" w:space="0" w:color="auto"/>
        <w:left w:val="none" w:sz="0" w:space="0" w:color="auto"/>
        <w:bottom w:val="none" w:sz="0" w:space="0" w:color="auto"/>
        <w:right w:val="none" w:sz="0" w:space="0" w:color="auto"/>
      </w:divBdr>
    </w:div>
    <w:div w:id="1084649935">
      <w:bodyDiv w:val="1"/>
      <w:marLeft w:val="0"/>
      <w:marRight w:val="0"/>
      <w:marTop w:val="0"/>
      <w:marBottom w:val="0"/>
      <w:divBdr>
        <w:top w:val="none" w:sz="0" w:space="0" w:color="auto"/>
        <w:left w:val="none" w:sz="0" w:space="0" w:color="auto"/>
        <w:bottom w:val="none" w:sz="0" w:space="0" w:color="auto"/>
        <w:right w:val="none" w:sz="0" w:space="0" w:color="auto"/>
      </w:divBdr>
    </w:div>
    <w:div w:id="1087655690">
      <w:bodyDiv w:val="1"/>
      <w:marLeft w:val="0"/>
      <w:marRight w:val="0"/>
      <w:marTop w:val="0"/>
      <w:marBottom w:val="0"/>
      <w:divBdr>
        <w:top w:val="none" w:sz="0" w:space="0" w:color="auto"/>
        <w:left w:val="none" w:sz="0" w:space="0" w:color="auto"/>
        <w:bottom w:val="none" w:sz="0" w:space="0" w:color="auto"/>
        <w:right w:val="none" w:sz="0" w:space="0" w:color="auto"/>
      </w:divBdr>
    </w:div>
    <w:div w:id="1088381393">
      <w:bodyDiv w:val="1"/>
      <w:marLeft w:val="0"/>
      <w:marRight w:val="0"/>
      <w:marTop w:val="0"/>
      <w:marBottom w:val="0"/>
      <w:divBdr>
        <w:top w:val="none" w:sz="0" w:space="0" w:color="auto"/>
        <w:left w:val="none" w:sz="0" w:space="0" w:color="auto"/>
        <w:bottom w:val="none" w:sz="0" w:space="0" w:color="auto"/>
        <w:right w:val="none" w:sz="0" w:space="0" w:color="auto"/>
      </w:divBdr>
    </w:div>
    <w:div w:id="1117867069">
      <w:bodyDiv w:val="1"/>
      <w:marLeft w:val="0"/>
      <w:marRight w:val="0"/>
      <w:marTop w:val="0"/>
      <w:marBottom w:val="0"/>
      <w:divBdr>
        <w:top w:val="none" w:sz="0" w:space="0" w:color="auto"/>
        <w:left w:val="none" w:sz="0" w:space="0" w:color="auto"/>
        <w:bottom w:val="none" w:sz="0" w:space="0" w:color="auto"/>
        <w:right w:val="none" w:sz="0" w:space="0" w:color="auto"/>
      </w:divBdr>
    </w:div>
    <w:div w:id="1122572347">
      <w:bodyDiv w:val="1"/>
      <w:marLeft w:val="0"/>
      <w:marRight w:val="0"/>
      <w:marTop w:val="0"/>
      <w:marBottom w:val="0"/>
      <w:divBdr>
        <w:top w:val="none" w:sz="0" w:space="0" w:color="auto"/>
        <w:left w:val="none" w:sz="0" w:space="0" w:color="auto"/>
        <w:bottom w:val="none" w:sz="0" w:space="0" w:color="auto"/>
        <w:right w:val="none" w:sz="0" w:space="0" w:color="auto"/>
      </w:divBdr>
    </w:div>
    <w:div w:id="1125541938">
      <w:bodyDiv w:val="1"/>
      <w:marLeft w:val="0"/>
      <w:marRight w:val="0"/>
      <w:marTop w:val="0"/>
      <w:marBottom w:val="0"/>
      <w:divBdr>
        <w:top w:val="none" w:sz="0" w:space="0" w:color="auto"/>
        <w:left w:val="none" w:sz="0" w:space="0" w:color="auto"/>
        <w:bottom w:val="none" w:sz="0" w:space="0" w:color="auto"/>
        <w:right w:val="none" w:sz="0" w:space="0" w:color="auto"/>
      </w:divBdr>
    </w:div>
    <w:div w:id="1128206910">
      <w:bodyDiv w:val="1"/>
      <w:marLeft w:val="0"/>
      <w:marRight w:val="0"/>
      <w:marTop w:val="0"/>
      <w:marBottom w:val="0"/>
      <w:divBdr>
        <w:top w:val="none" w:sz="0" w:space="0" w:color="auto"/>
        <w:left w:val="none" w:sz="0" w:space="0" w:color="auto"/>
        <w:bottom w:val="none" w:sz="0" w:space="0" w:color="auto"/>
        <w:right w:val="none" w:sz="0" w:space="0" w:color="auto"/>
      </w:divBdr>
    </w:div>
    <w:div w:id="1148322303">
      <w:bodyDiv w:val="1"/>
      <w:marLeft w:val="0"/>
      <w:marRight w:val="0"/>
      <w:marTop w:val="0"/>
      <w:marBottom w:val="0"/>
      <w:divBdr>
        <w:top w:val="none" w:sz="0" w:space="0" w:color="auto"/>
        <w:left w:val="none" w:sz="0" w:space="0" w:color="auto"/>
        <w:bottom w:val="none" w:sz="0" w:space="0" w:color="auto"/>
        <w:right w:val="none" w:sz="0" w:space="0" w:color="auto"/>
      </w:divBdr>
    </w:div>
    <w:div w:id="1156842018">
      <w:bodyDiv w:val="1"/>
      <w:marLeft w:val="0"/>
      <w:marRight w:val="0"/>
      <w:marTop w:val="0"/>
      <w:marBottom w:val="0"/>
      <w:divBdr>
        <w:top w:val="none" w:sz="0" w:space="0" w:color="auto"/>
        <w:left w:val="none" w:sz="0" w:space="0" w:color="auto"/>
        <w:bottom w:val="none" w:sz="0" w:space="0" w:color="auto"/>
        <w:right w:val="none" w:sz="0" w:space="0" w:color="auto"/>
      </w:divBdr>
    </w:div>
    <w:div w:id="1180969213">
      <w:bodyDiv w:val="1"/>
      <w:marLeft w:val="0"/>
      <w:marRight w:val="0"/>
      <w:marTop w:val="0"/>
      <w:marBottom w:val="0"/>
      <w:divBdr>
        <w:top w:val="none" w:sz="0" w:space="0" w:color="auto"/>
        <w:left w:val="none" w:sz="0" w:space="0" w:color="auto"/>
        <w:bottom w:val="none" w:sz="0" w:space="0" w:color="auto"/>
        <w:right w:val="none" w:sz="0" w:space="0" w:color="auto"/>
      </w:divBdr>
    </w:div>
    <w:div w:id="1182668583">
      <w:bodyDiv w:val="1"/>
      <w:marLeft w:val="0"/>
      <w:marRight w:val="0"/>
      <w:marTop w:val="0"/>
      <w:marBottom w:val="0"/>
      <w:divBdr>
        <w:top w:val="none" w:sz="0" w:space="0" w:color="auto"/>
        <w:left w:val="none" w:sz="0" w:space="0" w:color="auto"/>
        <w:bottom w:val="none" w:sz="0" w:space="0" w:color="auto"/>
        <w:right w:val="none" w:sz="0" w:space="0" w:color="auto"/>
      </w:divBdr>
    </w:div>
    <w:div w:id="1183978848">
      <w:bodyDiv w:val="1"/>
      <w:marLeft w:val="0"/>
      <w:marRight w:val="0"/>
      <w:marTop w:val="0"/>
      <w:marBottom w:val="0"/>
      <w:divBdr>
        <w:top w:val="none" w:sz="0" w:space="0" w:color="auto"/>
        <w:left w:val="none" w:sz="0" w:space="0" w:color="auto"/>
        <w:bottom w:val="none" w:sz="0" w:space="0" w:color="auto"/>
        <w:right w:val="none" w:sz="0" w:space="0" w:color="auto"/>
      </w:divBdr>
    </w:div>
    <w:div w:id="1188716647">
      <w:bodyDiv w:val="1"/>
      <w:marLeft w:val="0"/>
      <w:marRight w:val="0"/>
      <w:marTop w:val="0"/>
      <w:marBottom w:val="0"/>
      <w:divBdr>
        <w:top w:val="none" w:sz="0" w:space="0" w:color="auto"/>
        <w:left w:val="none" w:sz="0" w:space="0" w:color="auto"/>
        <w:bottom w:val="none" w:sz="0" w:space="0" w:color="auto"/>
        <w:right w:val="none" w:sz="0" w:space="0" w:color="auto"/>
      </w:divBdr>
    </w:div>
    <w:div w:id="1190878514">
      <w:bodyDiv w:val="1"/>
      <w:marLeft w:val="0"/>
      <w:marRight w:val="0"/>
      <w:marTop w:val="0"/>
      <w:marBottom w:val="0"/>
      <w:divBdr>
        <w:top w:val="none" w:sz="0" w:space="0" w:color="auto"/>
        <w:left w:val="none" w:sz="0" w:space="0" w:color="auto"/>
        <w:bottom w:val="none" w:sz="0" w:space="0" w:color="auto"/>
        <w:right w:val="none" w:sz="0" w:space="0" w:color="auto"/>
      </w:divBdr>
    </w:div>
    <w:div w:id="1194345898">
      <w:bodyDiv w:val="1"/>
      <w:marLeft w:val="0"/>
      <w:marRight w:val="0"/>
      <w:marTop w:val="0"/>
      <w:marBottom w:val="0"/>
      <w:divBdr>
        <w:top w:val="none" w:sz="0" w:space="0" w:color="auto"/>
        <w:left w:val="none" w:sz="0" w:space="0" w:color="auto"/>
        <w:bottom w:val="none" w:sz="0" w:space="0" w:color="auto"/>
        <w:right w:val="none" w:sz="0" w:space="0" w:color="auto"/>
      </w:divBdr>
    </w:div>
    <w:div w:id="1204051710">
      <w:bodyDiv w:val="1"/>
      <w:marLeft w:val="0"/>
      <w:marRight w:val="0"/>
      <w:marTop w:val="0"/>
      <w:marBottom w:val="0"/>
      <w:divBdr>
        <w:top w:val="none" w:sz="0" w:space="0" w:color="auto"/>
        <w:left w:val="none" w:sz="0" w:space="0" w:color="auto"/>
        <w:bottom w:val="none" w:sz="0" w:space="0" w:color="auto"/>
        <w:right w:val="none" w:sz="0" w:space="0" w:color="auto"/>
      </w:divBdr>
    </w:div>
    <w:div w:id="1206023435">
      <w:bodyDiv w:val="1"/>
      <w:marLeft w:val="0"/>
      <w:marRight w:val="0"/>
      <w:marTop w:val="0"/>
      <w:marBottom w:val="0"/>
      <w:divBdr>
        <w:top w:val="none" w:sz="0" w:space="0" w:color="auto"/>
        <w:left w:val="none" w:sz="0" w:space="0" w:color="auto"/>
        <w:bottom w:val="none" w:sz="0" w:space="0" w:color="auto"/>
        <w:right w:val="none" w:sz="0" w:space="0" w:color="auto"/>
      </w:divBdr>
    </w:div>
    <w:div w:id="1206331612">
      <w:bodyDiv w:val="1"/>
      <w:marLeft w:val="0"/>
      <w:marRight w:val="0"/>
      <w:marTop w:val="0"/>
      <w:marBottom w:val="0"/>
      <w:divBdr>
        <w:top w:val="none" w:sz="0" w:space="0" w:color="auto"/>
        <w:left w:val="none" w:sz="0" w:space="0" w:color="auto"/>
        <w:bottom w:val="none" w:sz="0" w:space="0" w:color="auto"/>
        <w:right w:val="none" w:sz="0" w:space="0" w:color="auto"/>
      </w:divBdr>
    </w:div>
    <w:div w:id="1211307934">
      <w:bodyDiv w:val="1"/>
      <w:marLeft w:val="0"/>
      <w:marRight w:val="0"/>
      <w:marTop w:val="0"/>
      <w:marBottom w:val="0"/>
      <w:divBdr>
        <w:top w:val="none" w:sz="0" w:space="0" w:color="auto"/>
        <w:left w:val="none" w:sz="0" w:space="0" w:color="auto"/>
        <w:bottom w:val="none" w:sz="0" w:space="0" w:color="auto"/>
        <w:right w:val="none" w:sz="0" w:space="0" w:color="auto"/>
      </w:divBdr>
    </w:div>
    <w:div w:id="1219365573">
      <w:bodyDiv w:val="1"/>
      <w:marLeft w:val="0"/>
      <w:marRight w:val="0"/>
      <w:marTop w:val="0"/>
      <w:marBottom w:val="0"/>
      <w:divBdr>
        <w:top w:val="none" w:sz="0" w:space="0" w:color="auto"/>
        <w:left w:val="none" w:sz="0" w:space="0" w:color="auto"/>
        <w:bottom w:val="none" w:sz="0" w:space="0" w:color="auto"/>
        <w:right w:val="none" w:sz="0" w:space="0" w:color="auto"/>
      </w:divBdr>
    </w:div>
    <w:div w:id="1233395743">
      <w:bodyDiv w:val="1"/>
      <w:marLeft w:val="0"/>
      <w:marRight w:val="0"/>
      <w:marTop w:val="0"/>
      <w:marBottom w:val="0"/>
      <w:divBdr>
        <w:top w:val="none" w:sz="0" w:space="0" w:color="auto"/>
        <w:left w:val="none" w:sz="0" w:space="0" w:color="auto"/>
        <w:bottom w:val="none" w:sz="0" w:space="0" w:color="auto"/>
        <w:right w:val="none" w:sz="0" w:space="0" w:color="auto"/>
      </w:divBdr>
    </w:div>
    <w:div w:id="1240479107">
      <w:bodyDiv w:val="1"/>
      <w:marLeft w:val="0"/>
      <w:marRight w:val="0"/>
      <w:marTop w:val="0"/>
      <w:marBottom w:val="0"/>
      <w:divBdr>
        <w:top w:val="none" w:sz="0" w:space="0" w:color="auto"/>
        <w:left w:val="none" w:sz="0" w:space="0" w:color="auto"/>
        <w:bottom w:val="none" w:sz="0" w:space="0" w:color="auto"/>
        <w:right w:val="none" w:sz="0" w:space="0" w:color="auto"/>
      </w:divBdr>
    </w:div>
    <w:div w:id="1242443891">
      <w:bodyDiv w:val="1"/>
      <w:marLeft w:val="0"/>
      <w:marRight w:val="0"/>
      <w:marTop w:val="0"/>
      <w:marBottom w:val="0"/>
      <w:divBdr>
        <w:top w:val="none" w:sz="0" w:space="0" w:color="auto"/>
        <w:left w:val="none" w:sz="0" w:space="0" w:color="auto"/>
        <w:bottom w:val="none" w:sz="0" w:space="0" w:color="auto"/>
        <w:right w:val="none" w:sz="0" w:space="0" w:color="auto"/>
      </w:divBdr>
    </w:div>
    <w:div w:id="1245609643">
      <w:bodyDiv w:val="1"/>
      <w:marLeft w:val="0"/>
      <w:marRight w:val="0"/>
      <w:marTop w:val="0"/>
      <w:marBottom w:val="0"/>
      <w:divBdr>
        <w:top w:val="none" w:sz="0" w:space="0" w:color="auto"/>
        <w:left w:val="none" w:sz="0" w:space="0" w:color="auto"/>
        <w:bottom w:val="none" w:sz="0" w:space="0" w:color="auto"/>
        <w:right w:val="none" w:sz="0" w:space="0" w:color="auto"/>
      </w:divBdr>
    </w:div>
    <w:div w:id="1260065011">
      <w:bodyDiv w:val="1"/>
      <w:marLeft w:val="0"/>
      <w:marRight w:val="0"/>
      <w:marTop w:val="0"/>
      <w:marBottom w:val="0"/>
      <w:divBdr>
        <w:top w:val="none" w:sz="0" w:space="0" w:color="auto"/>
        <w:left w:val="none" w:sz="0" w:space="0" w:color="auto"/>
        <w:bottom w:val="none" w:sz="0" w:space="0" w:color="auto"/>
        <w:right w:val="none" w:sz="0" w:space="0" w:color="auto"/>
      </w:divBdr>
    </w:div>
    <w:div w:id="1267540446">
      <w:bodyDiv w:val="1"/>
      <w:marLeft w:val="0"/>
      <w:marRight w:val="0"/>
      <w:marTop w:val="0"/>
      <w:marBottom w:val="0"/>
      <w:divBdr>
        <w:top w:val="none" w:sz="0" w:space="0" w:color="auto"/>
        <w:left w:val="none" w:sz="0" w:space="0" w:color="auto"/>
        <w:bottom w:val="none" w:sz="0" w:space="0" w:color="auto"/>
        <w:right w:val="none" w:sz="0" w:space="0" w:color="auto"/>
      </w:divBdr>
    </w:div>
    <w:div w:id="1271473311">
      <w:bodyDiv w:val="1"/>
      <w:marLeft w:val="0"/>
      <w:marRight w:val="0"/>
      <w:marTop w:val="0"/>
      <w:marBottom w:val="0"/>
      <w:divBdr>
        <w:top w:val="none" w:sz="0" w:space="0" w:color="auto"/>
        <w:left w:val="none" w:sz="0" w:space="0" w:color="auto"/>
        <w:bottom w:val="none" w:sz="0" w:space="0" w:color="auto"/>
        <w:right w:val="none" w:sz="0" w:space="0" w:color="auto"/>
      </w:divBdr>
    </w:div>
    <w:div w:id="1286276746">
      <w:bodyDiv w:val="1"/>
      <w:marLeft w:val="0"/>
      <w:marRight w:val="0"/>
      <w:marTop w:val="0"/>
      <w:marBottom w:val="0"/>
      <w:divBdr>
        <w:top w:val="none" w:sz="0" w:space="0" w:color="auto"/>
        <w:left w:val="none" w:sz="0" w:space="0" w:color="auto"/>
        <w:bottom w:val="none" w:sz="0" w:space="0" w:color="auto"/>
        <w:right w:val="none" w:sz="0" w:space="0" w:color="auto"/>
      </w:divBdr>
    </w:div>
    <w:div w:id="1291279920">
      <w:bodyDiv w:val="1"/>
      <w:marLeft w:val="0"/>
      <w:marRight w:val="0"/>
      <w:marTop w:val="0"/>
      <w:marBottom w:val="0"/>
      <w:divBdr>
        <w:top w:val="none" w:sz="0" w:space="0" w:color="auto"/>
        <w:left w:val="none" w:sz="0" w:space="0" w:color="auto"/>
        <w:bottom w:val="none" w:sz="0" w:space="0" w:color="auto"/>
        <w:right w:val="none" w:sz="0" w:space="0" w:color="auto"/>
      </w:divBdr>
    </w:div>
    <w:div w:id="1293443264">
      <w:bodyDiv w:val="1"/>
      <w:marLeft w:val="0"/>
      <w:marRight w:val="0"/>
      <w:marTop w:val="0"/>
      <w:marBottom w:val="0"/>
      <w:divBdr>
        <w:top w:val="none" w:sz="0" w:space="0" w:color="auto"/>
        <w:left w:val="none" w:sz="0" w:space="0" w:color="auto"/>
        <w:bottom w:val="none" w:sz="0" w:space="0" w:color="auto"/>
        <w:right w:val="none" w:sz="0" w:space="0" w:color="auto"/>
      </w:divBdr>
    </w:div>
    <w:div w:id="1297292602">
      <w:bodyDiv w:val="1"/>
      <w:marLeft w:val="0"/>
      <w:marRight w:val="0"/>
      <w:marTop w:val="0"/>
      <w:marBottom w:val="0"/>
      <w:divBdr>
        <w:top w:val="none" w:sz="0" w:space="0" w:color="auto"/>
        <w:left w:val="none" w:sz="0" w:space="0" w:color="auto"/>
        <w:bottom w:val="none" w:sz="0" w:space="0" w:color="auto"/>
        <w:right w:val="none" w:sz="0" w:space="0" w:color="auto"/>
      </w:divBdr>
    </w:div>
    <w:div w:id="1311716364">
      <w:bodyDiv w:val="1"/>
      <w:marLeft w:val="0"/>
      <w:marRight w:val="0"/>
      <w:marTop w:val="0"/>
      <w:marBottom w:val="0"/>
      <w:divBdr>
        <w:top w:val="none" w:sz="0" w:space="0" w:color="auto"/>
        <w:left w:val="none" w:sz="0" w:space="0" w:color="auto"/>
        <w:bottom w:val="none" w:sz="0" w:space="0" w:color="auto"/>
        <w:right w:val="none" w:sz="0" w:space="0" w:color="auto"/>
      </w:divBdr>
    </w:div>
    <w:div w:id="1312372365">
      <w:bodyDiv w:val="1"/>
      <w:marLeft w:val="0"/>
      <w:marRight w:val="0"/>
      <w:marTop w:val="0"/>
      <w:marBottom w:val="0"/>
      <w:divBdr>
        <w:top w:val="none" w:sz="0" w:space="0" w:color="auto"/>
        <w:left w:val="none" w:sz="0" w:space="0" w:color="auto"/>
        <w:bottom w:val="none" w:sz="0" w:space="0" w:color="auto"/>
        <w:right w:val="none" w:sz="0" w:space="0" w:color="auto"/>
      </w:divBdr>
    </w:div>
    <w:div w:id="1314288632">
      <w:bodyDiv w:val="1"/>
      <w:marLeft w:val="0"/>
      <w:marRight w:val="0"/>
      <w:marTop w:val="0"/>
      <w:marBottom w:val="0"/>
      <w:divBdr>
        <w:top w:val="none" w:sz="0" w:space="0" w:color="auto"/>
        <w:left w:val="none" w:sz="0" w:space="0" w:color="auto"/>
        <w:bottom w:val="none" w:sz="0" w:space="0" w:color="auto"/>
        <w:right w:val="none" w:sz="0" w:space="0" w:color="auto"/>
      </w:divBdr>
    </w:div>
    <w:div w:id="1344240293">
      <w:bodyDiv w:val="1"/>
      <w:marLeft w:val="0"/>
      <w:marRight w:val="0"/>
      <w:marTop w:val="0"/>
      <w:marBottom w:val="0"/>
      <w:divBdr>
        <w:top w:val="none" w:sz="0" w:space="0" w:color="auto"/>
        <w:left w:val="none" w:sz="0" w:space="0" w:color="auto"/>
        <w:bottom w:val="none" w:sz="0" w:space="0" w:color="auto"/>
        <w:right w:val="none" w:sz="0" w:space="0" w:color="auto"/>
      </w:divBdr>
    </w:div>
    <w:div w:id="1351493329">
      <w:bodyDiv w:val="1"/>
      <w:marLeft w:val="0"/>
      <w:marRight w:val="0"/>
      <w:marTop w:val="0"/>
      <w:marBottom w:val="0"/>
      <w:divBdr>
        <w:top w:val="none" w:sz="0" w:space="0" w:color="auto"/>
        <w:left w:val="none" w:sz="0" w:space="0" w:color="auto"/>
        <w:bottom w:val="none" w:sz="0" w:space="0" w:color="auto"/>
        <w:right w:val="none" w:sz="0" w:space="0" w:color="auto"/>
      </w:divBdr>
    </w:div>
    <w:div w:id="1352412890">
      <w:bodyDiv w:val="1"/>
      <w:marLeft w:val="0"/>
      <w:marRight w:val="0"/>
      <w:marTop w:val="0"/>
      <w:marBottom w:val="0"/>
      <w:divBdr>
        <w:top w:val="none" w:sz="0" w:space="0" w:color="auto"/>
        <w:left w:val="none" w:sz="0" w:space="0" w:color="auto"/>
        <w:bottom w:val="none" w:sz="0" w:space="0" w:color="auto"/>
        <w:right w:val="none" w:sz="0" w:space="0" w:color="auto"/>
      </w:divBdr>
    </w:div>
    <w:div w:id="1362248823">
      <w:bodyDiv w:val="1"/>
      <w:marLeft w:val="0"/>
      <w:marRight w:val="0"/>
      <w:marTop w:val="0"/>
      <w:marBottom w:val="0"/>
      <w:divBdr>
        <w:top w:val="none" w:sz="0" w:space="0" w:color="auto"/>
        <w:left w:val="none" w:sz="0" w:space="0" w:color="auto"/>
        <w:bottom w:val="none" w:sz="0" w:space="0" w:color="auto"/>
        <w:right w:val="none" w:sz="0" w:space="0" w:color="auto"/>
      </w:divBdr>
    </w:div>
    <w:div w:id="1365670422">
      <w:bodyDiv w:val="1"/>
      <w:marLeft w:val="0"/>
      <w:marRight w:val="0"/>
      <w:marTop w:val="0"/>
      <w:marBottom w:val="0"/>
      <w:divBdr>
        <w:top w:val="none" w:sz="0" w:space="0" w:color="auto"/>
        <w:left w:val="none" w:sz="0" w:space="0" w:color="auto"/>
        <w:bottom w:val="none" w:sz="0" w:space="0" w:color="auto"/>
        <w:right w:val="none" w:sz="0" w:space="0" w:color="auto"/>
      </w:divBdr>
    </w:div>
    <w:div w:id="1386488839">
      <w:bodyDiv w:val="1"/>
      <w:marLeft w:val="0"/>
      <w:marRight w:val="0"/>
      <w:marTop w:val="0"/>
      <w:marBottom w:val="0"/>
      <w:divBdr>
        <w:top w:val="none" w:sz="0" w:space="0" w:color="auto"/>
        <w:left w:val="none" w:sz="0" w:space="0" w:color="auto"/>
        <w:bottom w:val="none" w:sz="0" w:space="0" w:color="auto"/>
        <w:right w:val="none" w:sz="0" w:space="0" w:color="auto"/>
      </w:divBdr>
    </w:div>
    <w:div w:id="1387336752">
      <w:bodyDiv w:val="1"/>
      <w:marLeft w:val="0"/>
      <w:marRight w:val="0"/>
      <w:marTop w:val="0"/>
      <w:marBottom w:val="0"/>
      <w:divBdr>
        <w:top w:val="none" w:sz="0" w:space="0" w:color="auto"/>
        <w:left w:val="none" w:sz="0" w:space="0" w:color="auto"/>
        <w:bottom w:val="none" w:sz="0" w:space="0" w:color="auto"/>
        <w:right w:val="none" w:sz="0" w:space="0" w:color="auto"/>
      </w:divBdr>
    </w:div>
    <w:div w:id="1391077245">
      <w:bodyDiv w:val="1"/>
      <w:marLeft w:val="0"/>
      <w:marRight w:val="0"/>
      <w:marTop w:val="0"/>
      <w:marBottom w:val="0"/>
      <w:divBdr>
        <w:top w:val="none" w:sz="0" w:space="0" w:color="auto"/>
        <w:left w:val="none" w:sz="0" w:space="0" w:color="auto"/>
        <w:bottom w:val="none" w:sz="0" w:space="0" w:color="auto"/>
        <w:right w:val="none" w:sz="0" w:space="0" w:color="auto"/>
      </w:divBdr>
    </w:div>
    <w:div w:id="1394812166">
      <w:bodyDiv w:val="1"/>
      <w:marLeft w:val="0"/>
      <w:marRight w:val="0"/>
      <w:marTop w:val="0"/>
      <w:marBottom w:val="0"/>
      <w:divBdr>
        <w:top w:val="none" w:sz="0" w:space="0" w:color="auto"/>
        <w:left w:val="none" w:sz="0" w:space="0" w:color="auto"/>
        <w:bottom w:val="none" w:sz="0" w:space="0" w:color="auto"/>
        <w:right w:val="none" w:sz="0" w:space="0" w:color="auto"/>
      </w:divBdr>
    </w:div>
    <w:div w:id="1401246141">
      <w:bodyDiv w:val="1"/>
      <w:marLeft w:val="0"/>
      <w:marRight w:val="0"/>
      <w:marTop w:val="0"/>
      <w:marBottom w:val="0"/>
      <w:divBdr>
        <w:top w:val="none" w:sz="0" w:space="0" w:color="auto"/>
        <w:left w:val="none" w:sz="0" w:space="0" w:color="auto"/>
        <w:bottom w:val="none" w:sz="0" w:space="0" w:color="auto"/>
        <w:right w:val="none" w:sz="0" w:space="0" w:color="auto"/>
      </w:divBdr>
    </w:div>
    <w:div w:id="1406954886">
      <w:bodyDiv w:val="1"/>
      <w:marLeft w:val="0"/>
      <w:marRight w:val="0"/>
      <w:marTop w:val="0"/>
      <w:marBottom w:val="0"/>
      <w:divBdr>
        <w:top w:val="none" w:sz="0" w:space="0" w:color="auto"/>
        <w:left w:val="none" w:sz="0" w:space="0" w:color="auto"/>
        <w:bottom w:val="none" w:sz="0" w:space="0" w:color="auto"/>
        <w:right w:val="none" w:sz="0" w:space="0" w:color="auto"/>
      </w:divBdr>
    </w:div>
    <w:div w:id="1408848287">
      <w:bodyDiv w:val="1"/>
      <w:marLeft w:val="0"/>
      <w:marRight w:val="0"/>
      <w:marTop w:val="0"/>
      <w:marBottom w:val="0"/>
      <w:divBdr>
        <w:top w:val="none" w:sz="0" w:space="0" w:color="auto"/>
        <w:left w:val="none" w:sz="0" w:space="0" w:color="auto"/>
        <w:bottom w:val="none" w:sz="0" w:space="0" w:color="auto"/>
        <w:right w:val="none" w:sz="0" w:space="0" w:color="auto"/>
      </w:divBdr>
    </w:div>
    <w:div w:id="1409308359">
      <w:bodyDiv w:val="1"/>
      <w:marLeft w:val="0"/>
      <w:marRight w:val="0"/>
      <w:marTop w:val="0"/>
      <w:marBottom w:val="0"/>
      <w:divBdr>
        <w:top w:val="none" w:sz="0" w:space="0" w:color="auto"/>
        <w:left w:val="none" w:sz="0" w:space="0" w:color="auto"/>
        <w:bottom w:val="none" w:sz="0" w:space="0" w:color="auto"/>
        <w:right w:val="none" w:sz="0" w:space="0" w:color="auto"/>
      </w:divBdr>
    </w:div>
    <w:div w:id="1431196810">
      <w:bodyDiv w:val="1"/>
      <w:marLeft w:val="0"/>
      <w:marRight w:val="0"/>
      <w:marTop w:val="0"/>
      <w:marBottom w:val="0"/>
      <w:divBdr>
        <w:top w:val="none" w:sz="0" w:space="0" w:color="auto"/>
        <w:left w:val="none" w:sz="0" w:space="0" w:color="auto"/>
        <w:bottom w:val="none" w:sz="0" w:space="0" w:color="auto"/>
        <w:right w:val="none" w:sz="0" w:space="0" w:color="auto"/>
      </w:divBdr>
    </w:div>
    <w:div w:id="1458185805">
      <w:bodyDiv w:val="1"/>
      <w:marLeft w:val="0"/>
      <w:marRight w:val="0"/>
      <w:marTop w:val="0"/>
      <w:marBottom w:val="0"/>
      <w:divBdr>
        <w:top w:val="none" w:sz="0" w:space="0" w:color="auto"/>
        <w:left w:val="none" w:sz="0" w:space="0" w:color="auto"/>
        <w:bottom w:val="none" w:sz="0" w:space="0" w:color="auto"/>
        <w:right w:val="none" w:sz="0" w:space="0" w:color="auto"/>
      </w:divBdr>
    </w:div>
    <w:div w:id="1461415992">
      <w:bodyDiv w:val="1"/>
      <w:marLeft w:val="0"/>
      <w:marRight w:val="0"/>
      <w:marTop w:val="0"/>
      <w:marBottom w:val="0"/>
      <w:divBdr>
        <w:top w:val="none" w:sz="0" w:space="0" w:color="auto"/>
        <w:left w:val="none" w:sz="0" w:space="0" w:color="auto"/>
        <w:bottom w:val="none" w:sz="0" w:space="0" w:color="auto"/>
        <w:right w:val="none" w:sz="0" w:space="0" w:color="auto"/>
      </w:divBdr>
    </w:div>
    <w:div w:id="1465656822">
      <w:bodyDiv w:val="1"/>
      <w:marLeft w:val="0"/>
      <w:marRight w:val="0"/>
      <w:marTop w:val="0"/>
      <w:marBottom w:val="0"/>
      <w:divBdr>
        <w:top w:val="none" w:sz="0" w:space="0" w:color="auto"/>
        <w:left w:val="none" w:sz="0" w:space="0" w:color="auto"/>
        <w:bottom w:val="none" w:sz="0" w:space="0" w:color="auto"/>
        <w:right w:val="none" w:sz="0" w:space="0" w:color="auto"/>
      </w:divBdr>
    </w:div>
    <w:div w:id="1465999899">
      <w:bodyDiv w:val="1"/>
      <w:marLeft w:val="0"/>
      <w:marRight w:val="0"/>
      <w:marTop w:val="0"/>
      <w:marBottom w:val="0"/>
      <w:divBdr>
        <w:top w:val="none" w:sz="0" w:space="0" w:color="auto"/>
        <w:left w:val="none" w:sz="0" w:space="0" w:color="auto"/>
        <w:bottom w:val="none" w:sz="0" w:space="0" w:color="auto"/>
        <w:right w:val="none" w:sz="0" w:space="0" w:color="auto"/>
      </w:divBdr>
    </w:div>
    <w:div w:id="1478574986">
      <w:bodyDiv w:val="1"/>
      <w:marLeft w:val="0"/>
      <w:marRight w:val="0"/>
      <w:marTop w:val="0"/>
      <w:marBottom w:val="0"/>
      <w:divBdr>
        <w:top w:val="none" w:sz="0" w:space="0" w:color="auto"/>
        <w:left w:val="none" w:sz="0" w:space="0" w:color="auto"/>
        <w:bottom w:val="none" w:sz="0" w:space="0" w:color="auto"/>
        <w:right w:val="none" w:sz="0" w:space="0" w:color="auto"/>
      </w:divBdr>
    </w:div>
    <w:div w:id="1495493342">
      <w:bodyDiv w:val="1"/>
      <w:marLeft w:val="0"/>
      <w:marRight w:val="0"/>
      <w:marTop w:val="0"/>
      <w:marBottom w:val="0"/>
      <w:divBdr>
        <w:top w:val="none" w:sz="0" w:space="0" w:color="auto"/>
        <w:left w:val="none" w:sz="0" w:space="0" w:color="auto"/>
        <w:bottom w:val="none" w:sz="0" w:space="0" w:color="auto"/>
        <w:right w:val="none" w:sz="0" w:space="0" w:color="auto"/>
      </w:divBdr>
    </w:div>
    <w:div w:id="1496722371">
      <w:bodyDiv w:val="1"/>
      <w:marLeft w:val="0"/>
      <w:marRight w:val="0"/>
      <w:marTop w:val="0"/>
      <w:marBottom w:val="0"/>
      <w:divBdr>
        <w:top w:val="none" w:sz="0" w:space="0" w:color="auto"/>
        <w:left w:val="none" w:sz="0" w:space="0" w:color="auto"/>
        <w:bottom w:val="none" w:sz="0" w:space="0" w:color="auto"/>
        <w:right w:val="none" w:sz="0" w:space="0" w:color="auto"/>
      </w:divBdr>
    </w:div>
    <w:div w:id="1499886459">
      <w:bodyDiv w:val="1"/>
      <w:marLeft w:val="0"/>
      <w:marRight w:val="0"/>
      <w:marTop w:val="0"/>
      <w:marBottom w:val="0"/>
      <w:divBdr>
        <w:top w:val="none" w:sz="0" w:space="0" w:color="auto"/>
        <w:left w:val="none" w:sz="0" w:space="0" w:color="auto"/>
        <w:bottom w:val="none" w:sz="0" w:space="0" w:color="auto"/>
        <w:right w:val="none" w:sz="0" w:space="0" w:color="auto"/>
      </w:divBdr>
    </w:div>
    <w:div w:id="1500080953">
      <w:bodyDiv w:val="1"/>
      <w:marLeft w:val="0"/>
      <w:marRight w:val="0"/>
      <w:marTop w:val="0"/>
      <w:marBottom w:val="0"/>
      <w:divBdr>
        <w:top w:val="none" w:sz="0" w:space="0" w:color="auto"/>
        <w:left w:val="none" w:sz="0" w:space="0" w:color="auto"/>
        <w:bottom w:val="none" w:sz="0" w:space="0" w:color="auto"/>
        <w:right w:val="none" w:sz="0" w:space="0" w:color="auto"/>
      </w:divBdr>
    </w:div>
    <w:div w:id="1500386280">
      <w:bodyDiv w:val="1"/>
      <w:marLeft w:val="0"/>
      <w:marRight w:val="0"/>
      <w:marTop w:val="0"/>
      <w:marBottom w:val="0"/>
      <w:divBdr>
        <w:top w:val="none" w:sz="0" w:space="0" w:color="auto"/>
        <w:left w:val="none" w:sz="0" w:space="0" w:color="auto"/>
        <w:bottom w:val="none" w:sz="0" w:space="0" w:color="auto"/>
        <w:right w:val="none" w:sz="0" w:space="0" w:color="auto"/>
      </w:divBdr>
    </w:div>
    <w:div w:id="1506553786">
      <w:bodyDiv w:val="1"/>
      <w:marLeft w:val="0"/>
      <w:marRight w:val="0"/>
      <w:marTop w:val="0"/>
      <w:marBottom w:val="0"/>
      <w:divBdr>
        <w:top w:val="none" w:sz="0" w:space="0" w:color="auto"/>
        <w:left w:val="none" w:sz="0" w:space="0" w:color="auto"/>
        <w:bottom w:val="none" w:sz="0" w:space="0" w:color="auto"/>
        <w:right w:val="none" w:sz="0" w:space="0" w:color="auto"/>
      </w:divBdr>
    </w:div>
    <w:div w:id="1514688675">
      <w:bodyDiv w:val="1"/>
      <w:marLeft w:val="0"/>
      <w:marRight w:val="0"/>
      <w:marTop w:val="0"/>
      <w:marBottom w:val="0"/>
      <w:divBdr>
        <w:top w:val="none" w:sz="0" w:space="0" w:color="auto"/>
        <w:left w:val="none" w:sz="0" w:space="0" w:color="auto"/>
        <w:bottom w:val="none" w:sz="0" w:space="0" w:color="auto"/>
        <w:right w:val="none" w:sz="0" w:space="0" w:color="auto"/>
      </w:divBdr>
    </w:div>
    <w:div w:id="1523468635">
      <w:bodyDiv w:val="1"/>
      <w:marLeft w:val="0"/>
      <w:marRight w:val="0"/>
      <w:marTop w:val="0"/>
      <w:marBottom w:val="0"/>
      <w:divBdr>
        <w:top w:val="none" w:sz="0" w:space="0" w:color="auto"/>
        <w:left w:val="none" w:sz="0" w:space="0" w:color="auto"/>
        <w:bottom w:val="none" w:sz="0" w:space="0" w:color="auto"/>
        <w:right w:val="none" w:sz="0" w:space="0" w:color="auto"/>
      </w:divBdr>
    </w:div>
    <w:div w:id="1526603012">
      <w:bodyDiv w:val="1"/>
      <w:marLeft w:val="0"/>
      <w:marRight w:val="0"/>
      <w:marTop w:val="0"/>
      <w:marBottom w:val="0"/>
      <w:divBdr>
        <w:top w:val="none" w:sz="0" w:space="0" w:color="auto"/>
        <w:left w:val="none" w:sz="0" w:space="0" w:color="auto"/>
        <w:bottom w:val="none" w:sz="0" w:space="0" w:color="auto"/>
        <w:right w:val="none" w:sz="0" w:space="0" w:color="auto"/>
      </w:divBdr>
    </w:div>
    <w:div w:id="1535650210">
      <w:bodyDiv w:val="1"/>
      <w:marLeft w:val="0"/>
      <w:marRight w:val="0"/>
      <w:marTop w:val="0"/>
      <w:marBottom w:val="0"/>
      <w:divBdr>
        <w:top w:val="none" w:sz="0" w:space="0" w:color="auto"/>
        <w:left w:val="none" w:sz="0" w:space="0" w:color="auto"/>
        <w:bottom w:val="none" w:sz="0" w:space="0" w:color="auto"/>
        <w:right w:val="none" w:sz="0" w:space="0" w:color="auto"/>
      </w:divBdr>
    </w:div>
    <w:div w:id="1540245327">
      <w:bodyDiv w:val="1"/>
      <w:marLeft w:val="0"/>
      <w:marRight w:val="0"/>
      <w:marTop w:val="0"/>
      <w:marBottom w:val="0"/>
      <w:divBdr>
        <w:top w:val="none" w:sz="0" w:space="0" w:color="auto"/>
        <w:left w:val="none" w:sz="0" w:space="0" w:color="auto"/>
        <w:bottom w:val="none" w:sz="0" w:space="0" w:color="auto"/>
        <w:right w:val="none" w:sz="0" w:space="0" w:color="auto"/>
      </w:divBdr>
    </w:div>
    <w:div w:id="1541168019">
      <w:bodyDiv w:val="1"/>
      <w:marLeft w:val="0"/>
      <w:marRight w:val="0"/>
      <w:marTop w:val="0"/>
      <w:marBottom w:val="0"/>
      <w:divBdr>
        <w:top w:val="none" w:sz="0" w:space="0" w:color="auto"/>
        <w:left w:val="none" w:sz="0" w:space="0" w:color="auto"/>
        <w:bottom w:val="none" w:sz="0" w:space="0" w:color="auto"/>
        <w:right w:val="none" w:sz="0" w:space="0" w:color="auto"/>
      </w:divBdr>
    </w:div>
    <w:div w:id="1543326116">
      <w:bodyDiv w:val="1"/>
      <w:marLeft w:val="0"/>
      <w:marRight w:val="0"/>
      <w:marTop w:val="0"/>
      <w:marBottom w:val="0"/>
      <w:divBdr>
        <w:top w:val="none" w:sz="0" w:space="0" w:color="auto"/>
        <w:left w:val="none" w:sz="0" w:space="0" w:color="auto"/>
        <w:bottom w:val="none" w:sz="0" w:space="0" w:color="auto"/>
        <w:right w:val="none" w:sz="0" w:space="0" w:color="auto"/>
      </w:divBdr>
    </w:div>
    <w:div w:id="1552618261">
      <w:bodyDiv w:val="1"/>
      <w:marLeft w:val="0"/>
      <w:marRight w:val="0"/>
      <w:marTop w:val="0"/>
      <w:marBottom w:val="0"/>
      <w:divBdr>
        <w:top w:val="none" w:sz="0" w:space="0" w:color="auto"/>
        <w:left w:val="none" w:sz="0" w:space="0" w:color="auto"/>
        <w:bottom w:val="none" w:sz="0" w:space="0" w:color="auto"/>
        <w:right w:val="none" w:sz="0" w:space="0" w:color="auto"/>
      </w:divBdr>
    </w:div>
    <w:div w:id="1553081142">
      <w:bodyDiv w:val="1"/>
      <w:marLeft w:val="0"/>
      <w:marRight w:val="0"/>
      <w:marTop w:val="0"/>
      <w:marBottom w:val="0"/>
      <w:divBdr>
        <w:top w:val="none" w:sz="0" w:space="0" w:color="auto"/>
        <w:left w:val="none" w:sz="0" w:space="0" w:color="auto"/>
        <w:bottom w:val="none" w:sz="0" w:space="0" w:color="auto"/>
        <w:right w:val="none" w:sz="0" w:space="0" w:color="auto"/>
      </w:divBdr>
    </w:div>
    <w:div w:id="1553228899">
      <w:bodyDiv w:val="1"/>
      <w:marLeft w:val="0"/>
      <w:marRight w:val="0"/>
      <w:marTop w:val="0"/>
      <w:marBottom w:val="0"/>
      <w:divBdr>
        <w:top w:val="none" w:sz="0" w:space="0" w:color="auto"/>
        <w:left w:val="none" w:sz="0" w:space="0" w:color="auto"/>
        <w:bottom w:val="none" w:sz="0" w:space="0" w:color="auto"/>
        <w:right w:val="none" w:sz="0" w:space="0" w:color="auto"/>
      </w:divBdr>
    </w:div>
    <w:div w:id="1578439457">
      <w:bodyDiv w:val="1"/>
      <w:marLeft w:val="0"/>
      <w:marRight w:val="0"/>
      <w:marTop w:val="0"/>
      <w:marBottom w:val="0"/>
      <w:divBdr>
        <w:top w:val="none" w:sz="0" w:space="0" w:color="auto"/>
        <w:left w:val="none" w:sz="0" w:space="0" w:color="auto"/>
        <w:bottom w:val="none" w:sz="0" w:space="0" w:color="auto"/>
        <w:right w:val="none" w:sz="0" w:space="0" w:color="auto"/>
      </w:divBdr>
    </w:div>
    <w:div w:id="1590195228">
      <w:bodyDiv w:val="1"/>
      <w:marLeft w:val="0"/>
      <w:marRight w:val="0"/>
      <w:marTop w:val="0"/>
      <w:marBottom w:val="0"/>
      <w:divBdr>
        <w:top w:val="none" w:sz="0" w:space="0" w:color="auto"/>
        <w:left w:val="none" w:sz="0" w:space="0" w:color="auto"/>
        <w:bottom w:val="none" w:sz="0" w:space="0" w:color="auto"/>
        <w:right w:val="none" w:sz="0" w:space="0" w:color="auto"/>
      </w:divBdr>
    </w:div>
    <w:div w:id="1591350971">
      <w:bodyDiv w:val="1"/>
      <w:marLeft w:val="0"/>
      <w:marRight w:val="0"/>
      <w:marTop w:val="0"/>
      <w:marBottom w:val="0"/>
      <w:divBdr>
        <w:top w:val="none" w:sz="0" w:space="0" w:color="auto"/>
        <w:left w:val="none" w:sz="0" w:space="0" w:color="auto"/>
        <w:bottom w:val="none" w:sz="0" w:space="0" w:color="auto"/>
        <w:right w:val="none" w:sz="0" w:space="0" w:color="auto"/>
      </w:divBdr>
    </w:div>
    <w:div w:id="1592197536">
      <w:bodyDiv w:val="1"/>
      <w:marLeft w:val="0"/>
      <w:marRight w:val="0"/>
      <w:marTop w:val="0"/>
      <w:marBottom w:val="0"/>
      <w:divBdr>
        <w:top w:val="none" w:sz="0" w:space="0" w:color="auto"/>
        <w:left w:val="none" w:sz="0" w:space="0" w:color="auto"/>
        <w:bottom w:val="none" w:sz="0" w:space="0" w:color="auto"/>
        <w:right w:val="none" w:sz="0" w:space="0" w:color="auto"/>
      </w:divBdr>
    </w:div>
    <w:div w:id="1596743654">
      <w:bodyDiv w:val="1"/>
      <w:marLeft w:val="0"/>
      <w:marRight w:val="0"/>
      <w:marTop w:val="0"/>
      <w:marBottom w:val="0"/>
      <w:divBdr>
        <w:top w:val="none" w:sz="0" w:space="0" w:color="auto"/>
        <w:left w:val="none" w:sz="0" w:space="0" w:color="auto"/>
        <w:bottom w:val="none" w:sz="0" w:space="0" w:color="auto"/>
        <w:right w:val="none" w:sz="0" w:space="0" w:color="auto"/>
      </w:divBdr>
    </w:div>
    <w:div w:id="1600943459">
      <w:bodyDiv w:val="1"/>
      <w:marLeft w:val="0"/>
      <w:marRight w:val="0"/>
      <w:marTop w:val="0"/>
      <w:marBottom w:val="0"/>
      <w:divBdr>
        <w:top w:val="none" w:sz="0" w:space="0" w:color="auto"/>
        <w:left w:val="none" w:sz="0" w:space="0" w:color="auto"/>
        <w:bottom w:val="none" w:sz="0" w:space="0" w:color="auto"/>
        <w:right w:val="none" w:sz="0" w:space="0" w:color="auto"/>
      </w:divBdr>
    </w:div>
    <w:div w:id="1625847111">
      <w:bodyDiv w:val="1"/>
      <w:marLeft w:val="0"/>
      <w:marRight w:val="0"/>
      <w:marTop w:val="0"/>
      <w:marBottom w:val="0"/>
      <w:divBdr>
        <w:top w:val="none" w:sz="0" w:space="0" w:color="auto"/>
        <w:left w:val="none" w:sz="0" w:space="0" w:color="auto"/>
        <w:bottom w:val="none" w:sz="0" w:space="0" w:color="auto"/>
        <w:right w:val="none" w:sz="0" w:space="0" w:color="auto"/>
      </w:divBdr>
    </w:div>
    <w:div w:id="1650935835">
      <w:bodyDiv w:val="1"/>
      <w:marLeft w:val="0"/>
      <w:marRight w:val="0"/>
      <w:marTop w:val="0"/>
      <w:marBottom w:val="0"/>
      <w:divBdr>
        <w:top w:val="none" w:sz="0" w:space="0" w:color="auto"/>
        <w:left w:val="none" w:sz="0" w:space="0" w:color="auto"/>
        <w:bottom w:val="none" w:sz="0" w:space="0" w:color="auto"/>
        <w:right w:val="none" w:sz="0" w:space="0" w:color="auto"/>
      </w:divBdr>
    </w:div>
    <w:div w:id="1660889278">
      <w:bodyDiv w:val="1"/>
      <w:marLeft w:val="0"/>
      <w:marRight w:val="0"/>
      <w:marTop w:val="0"/>
      <w:marBottom w:val="0"/>
      <w:divBdr>
        <w:top w:val="none" w:sz="0" w:space="0" w:color="auto"/>
        <w:left w:val="none" w:sz="0" w:space="0" w:color="auto"/>
        <w:bottom w:val="none" w:sz="0" w:space="0" w:color="auto"/>
        <w:right w:val="none" w:sz="0" w:space="0" w:color="auto"/>
      </w:divBdr>
    </w:div>
    <w:div w:id="1683359954">
      <w:bodyDiv w:val="1"/>
      <w:marLeft w:val="0"/>
      <w:marRight w:val="0"/>
      <w:marTop w:val="0"/>
      <w:marBottom w:val="0"/>
      <w:divBdr>
        <w:top w:val="none" w:sz="0" w:space="0" w:color="auto"/>
        <w:left w:val="none" w:sz="0" w:space="0" w:color="auto"/>
        <w:bottom w:val="none" w:sz="0" w:space="0" w:color="auto"/>
        <w:right w:val="none" w:sz="0" w:space="0" w:color="auto"/>
      </w:divBdr>
    </w:div>
    <w:div w:id="1693459114">
      <w:bodyDiv w:val="1"/>
      <w:marLeft w:val="0"/>
      <w:marRight w:val="0"/>
      <w:marTop w:val="0"/>
      <w:marBottom w:val="0"/>
      <w:divBdr>
        <w:top w:val="none" w:sz="0" w:space="0" w:color="auto"/>
        <w:left w:val="none" w:sz="0" w:space="0" w:color="auto"/>
        <w:bottom w:val="none" w:sz="0" w:space="0" w:color="auto"/>
        <w:right w:val="none" w:sz="0" w:space="0" w:color="auto"/>
      </w:divBdr>
    </w:div>
    <w:div w:id="1696879793">
      <w:bodyDiv w:val="1"/>
      <w:marLeft w:val="0"/>
      <w:marRight w:val="0"/>
      <w:marTop w:val="0"/>
      <w:marBottom w:val="0"/>
      <w:divBdr>
        <w:top w:val="none" w:sz="0" w:space="0" w:color="auto"/>
        <w:left w:val="none" w:sz="0" w:space="0" w:color="auto"/>
        <w:bottom w:val="none" w:sz="0" w:space="0" w:color="auto"/>
        <w:right w:val="none" w:sz="0" w:space="0" w:color="auto"/>
      </w:divBdr>
    </w:div>
    <w:div w:id="1709912168">
      <w:bodyDiv w:val="1"/>
      <w:marLeft w:val="0"/>
      <w:marRight w:val="0"/>
      <w:marTop w:val="0"/>
      <w:marBottom w:val="0"/>
      <w:divBdr>
        <w:top w:val="none" w:sz="0" w:space="0" w:color="auto"/>
        <w:left w:val="none" w:sz="0" w:space="0" w:color="auto"/>
        <w:bottom w:val="none" w:sz="0" w:space="0" w:color="auto"/>
        <w:right w:val="none" w:sz="0" w:space="0" w:color="auto"/>
      </w:divBdr>
      <w:divsChild>
        <w:div w:id="50276417">
          <w:marLeft w:val="0"/>
          <w:marRight w:val="0"/>
          <w:marTop w:val="0"/>
          <w:marBottom w:val="0"/>
          <w:divBdr>
            <w:top w:val="none" w:sz="0" w:space="0" w:color="auto"/>
            <w:left w:val="none" w:sz="0" w:space="0" w:color="auto"/>
            <w:bottom w:val="none" w:sz="0" w:space="0" w:color="auto"/>
            <w:right w:val="none" w:sz="0" w:space="0" w:color="auto"/>
          </w:divBdr>
          <w:divsChild>
            <w:div w:id="949580641">
              <w:marLeft w:val="0"/>
              <w:marRight w:val="0"/>
              <w:marTop w:val="0"/>
              <w:marBottom w:val="0"/>
              <w:divBdr>
                <w:top w:val="none" w:sz="0" w:space="0" w:color="auto"/>
                <w:left w:val="none" w:sz="0" w:space="0" w:color="auto"/>
                <w:bottom w:val="none" w:sz="0" w:space="0" w:color="auto"/>
                <w:right w:val="none" w:sz="0" w:space="0" w:color="auto"/>
              </w:divBdr>
              <w:divsChild>
                <w:div w:id="1483305213">
                  <w:marLeft w:val="0"/>
                  <w:marRight w:val="0"/>
                  <w:marTop w:val="0"/>
                  <w:marBottom w:val="0"/>
                  <w:divBdr>
                    <w:top w:val="none" w:sz="0" w:space="0" w:color="auto"/>
                    <w:left w:val="none" w:sz="0" w:space="0" w:color="auto"/>
                    <w:bottom w:val="none" w:sz="0" w:space="0" w:color="auto"/>
                    <w:right w:val="none" w:sz="0" w:space="0" w:color="auto"/>
                  </w:divBdr>
                  <w:divsChild>
                    <w:div w:id="362485607">
                      <w:marLeft w:val="0"/>
                      <w:marRight w:val="0"/>
                      <w:marTop w:val="0"/>
                      <w:marBottom w:val="0"/>
                      <w:divBdr>
                        <w:top w:val="none" w:sz="0" w:space="0" w:color="auto"/>
                        <w:left w:val="none" w:sz="0" w:space="0" w:color="auto"/>
                        <w:bottom w:val="none" w:sz="0" w:space="0" w:color="auto"/>
                        <w:right w:val="none" w:sz="0" w:space="0" w:color="auto"/>
                      </w:divBdr>
                      <w:divsChild>
                        <w:div w:id="763889812">
                          <w:marLeft w:val="0"/>
                          <w:marRight w:val="0"/>
                          <w:marTop w:val="0"/>
                          <w:marBottom w:val="0"/>
                          <w:divBdr>
                            <w:top w:val="none" w:sz="0" w:space="0" w:color="auto"/>
                            <w:left w:val="none" w:sz="0" w:space="0" w:color="auto"/>
                            <w:bottom w:val="none" w:sz="0" w:space="0" w:color="auto"/>
                            <w:right w:val="none" w:sz="0" w:space="0" w:color="auto"/>
                          </w:divBdr>
                          <w:divsChild>
                            <w:div w:id="1939218522">
                              <w:marLeft w:val="0"/>
                              <w:marRight w:val="0"/>
                              <w:marTop w:val="0"/>
                              <w:marBottom w:val="0"/>
                              <w:divBdr>
                                <w:top w:val="none" w:sz="0" w:space="0" w:color="auto"/>
                                <w:left w:val="none" w:sz="0" w:space="0" w:color="auto"/>
                                <w:bottom w:val="none" w:sz="0" w:space="0" w:color="auto"/>
                                <w:right w:val="none" w:sz="0" w:space="0" w:color="auto"/>
                              </w:divBdr>
                              <w:divsChild>
                                <w:div w:id="649210759">
                                  <w:marLeft w:val="0"/>
                                  <w:marRight w:val="0"/>
                                  <w:marTop w:val="0"/>
                                  <w:marBottom w:val="0"/>
                                  <w:divBdr>
                                    <w:top w:val="none" w:sz="0" w:space="0" w:color="auto"/>
                                    <w:left w:val="none" w:sz="0" w:space="0" w:color="auto"/>
                                    <w:bottom w:val="none" w:sz="0" w:space="0" w:color="auto"/>
                                    <w:right w:val="none" w:sz="0" w:space="0" w:color="auto"/>
                                  </w:divBdr>
                                  <w:divsChild>
                                    <w:div w:id="847642982">
                                      <w:marLeft w:val="0"/>
                                      <w:marRight w:val="0"/>
                                      <w:marTop w:val="0"/>
                                      <w:marBottom w:val="0"/>
                                      <w:divBdr>
                                        <w:top w:val="none" w:sz="0" w:space="0" w:color="auto"/>
                                        <w:left w:val="none" w:sz="0" w:space="0" w:color="auto"/>
                                        <w:bottom w:val="none" w:sz="0" w:space="0" w:color="auto"/>
                                        <w:right w:val="none" w:sz="0" w:space="0" w:color="auto"/>
                                      </w:divBdr>
                                      <w:divsChild>
                                        <w:div w:id="1621838221">
                                          <w:marLeft w:val="0"/>
                                          <w:marRight w:val="0"/>
                                          <w:marTop w:val="0"/>
                                          <w:marBottom w:val="0"/>
                                          <w:divBdr>
                                            <w:top w:val="none" w:sz="0" w:space="0" w:color="auto"/>
                                            <w:left w:val="none" w:sz="0" w:space="0" w:color="auto"/>
                                            <w:bottom w:val="none" w:sz="0" w:space="0" w:color="auto"/>
                                            <w:right w:val="none" w:sz="0" w:space="0" w:color="auto"/>
                                          </w:divBdr>
                                          <w:divsChild>
                                            <w:div w:id="1486435207">
                                              <w:marLeft w:val="0"/>
                                              <w:marRight w:val="0"/>
                                              <w:marTop w:val="0"/>
                                              <w:marBottom w:val="0"/>
                                              <w:divBdr>
                                                <w:top w:val="none" w:sz="0" w:space="0" w:color="auto"/>
                                                <w:left w:val="none" w:sz="0" w:space="0" w:color="auto"/>
                                                <w:bottom w:val="none" w:sz="0" w:space="0" w:color="auto"/>
                                                <w:right w:val="none" w:sz="0" w:space="0" w:color="auto"/>
                                              </w:divBdr>
                                              <w:divsChild>
                                                <w:div w:id="479542602">
                                                  <w:marLeft w:val="0"/>
                                                  <w:marRight w:val="0"/>
                                                  <w:marTop w:val="0"/>
                                                  <w:marBottom w:val="0"/>
                                                  <w:divBdr>
                                                    <w:top w:val="none" w:sz="0" w:space="0" w:color="auto"/>
                                                    <w:left w:val="none" w:sz="0" w:space="0" w:color="auto"/>
                                                    <w:bottom w:val="none" w:sz="0" w:space="0" w:color="auto"/>
                                                    <w:right w:val="none" w:sz="0" w:space="0" w:color="auto"/>
                                                  </w:divBdr>
                                                  <w:divsChild>
                                                    <w:div w:id="1392079370">
                                                      <w:marLeft w:val="0"/>
                                                      <w:marRight w:val="0"/>
                                                      <w:marTop w:val="0"/>
                                                      <w:marBottom w:val="0"/>
                                                      <w:divBdr>
                                                        <w:top w:val="none" w:sz="0" w:space="0" w:color="auto"/>
                                                        <w:left w:val="none" w:sz="0" w:space="0" w:color="auto"/>
                                                        <w:bottom w:val="none" w:sz="0" w:space="0" w:color="auto"/>
                                                        <w:right w:val="none" w:sz="0" w:space="0" w:color="auto"/>
                                                      </w:divBdr>
                                                      <w:divsChild>
                                                        <w:div w:id="8459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208518">
      <w:bodyDiv w:val="1"/>
      <w:marLeft w:val="0"/>
      <w:marRight w:val="0"/>
      <w:marTop w:val="0"/>
      <w:marBottom w:val="0"/>
      <w:divBdr>
        <w:top w:val="none" w:sz="0" w:space="0" w:color="auto"/>
        <w:left w:val="none" w:sz="0" w:space="0" w:color="auto"/>
        <w:bottom w:val="none" w:sz="0" w:space="0" w:color="auto"/>
        <w:right w:val="none" w:sz="0" w:space="0" w:color="auto"/>
      </w:divBdr>
    </w:div>
    <w:div w:id="1732003813">
      <w:bodyDiv w:val="1"/>
      <w:marLeft w:val="0"/>
      <w:marRight w:val="0"/>
      <w:marTop w:val="0"/>
      <w:marBottom w:val="0"/>
      <w:divBdr>
        <w:top w:val="none" w:sz="0" w:space="0" w:color="auto"/>
        <w:left w:val="none" w:sz="0" w:space="0" w:color="auto"/>
        <w:bottom w:val="none" w:sz="0" w:space="0" w:color="auto"/>
        <w:right w:val="none" w:sz="0" w:space="0" w:color="auto"/>
      </w:divBdr>
    </w:div>
    <w:div w:id="1732728759">
      <w:bodyDiv w:val="1"/>
      <w:marLeft w:val="0"/>
      <w:marRight w:val="0"/>
      <w:marTop w:val="0"/>
      <w:marBottom w:val="0"/>
      <w:divBdr>
        <w:top w:val="none" w:sz="0" w:space="0" w:color="auto"/>
        <w:left w:val="none" w:sz="0" w:space="0" w:color="auto"/>
        <w:bottom w:val="none" w:sz="0" w:space="0" w:color="auto"/>
        <w:right w:val="none" w:sz="0" w:space="0" w:color="auto"/>
      </w:divBdr>
    </w:div>
    <w:div w:id="1734114196">
      <w:bodyDiv w:val="1"/>
      <w:marLeft w:val="0"/>
      <w:marRight w:val="0"/>
      <w:marTop w:val="0"/>
      <w:marBottom w:val="0"/>
      <w:divBdr>
        <w:top w:val="none" w:sz="0" w:space="0" w:color="auto"/>
        <w:left w:val="none" w:sz="0" w:space="0" w:color="auto"/>
        <w:bottom w:val="none" w:sz="0" w:space="0" w:color="auto"/>
        <w:right w:val="none" w:sz="0" w:space="0" w:color="auto"/>
      </w:divBdr>
    </w:div>
    <w:div w:id="1749157674">
      <w:bodyDiv w:val="1"/>
      <w:marLeft w:val="0"/>
      <w:marRight w:val="0"/>
      <w:marTop w:val="0"/>
      <w:marBottom w:val="0"/>
      <w:divBdr>
        <w:top w:val="none" w:sz="0" w:space="0" w:color="auto"/>
        <w:left w:val="none" w:sz="0" w:space="0" w:color="auto"/>
        <w:bottom w:val="none" w:sz="0" w:space="0" w:color="auto"/>
        <w:right w:val="none" w:sz="0" w:space="0" w:color="auto"/>
      </w:divBdr>
    </w:div>
    <w:div w:id="1755975385">
      <w:bodyDiv w:val="1"/>
      <w:marLeft w:val="0"/>
      <w:marRight w:val="0"/>
      <w:marTop w:val="0"/>
      <w:marBottom w:val="0"/>
      <w:divBdr>
        <w:top w:val="none" w:sz="0" w:space="0" w:color="auto"/>
        <w:left w:val="none" w:sz="0" w:space="0" w:color="auto"/>
        <w:bottom w:val="none" w:sz="0" w:space="0" w:color="auto"/>
        <w:right w:val="none" w:sz="0" w:space="0" w:color="auto"/>
      </w:divBdr>
    </w:div>
    <w:div w:id="1761638041">
      <w:bodyDiv w:val="1"/>
      <w:marLeft w:val="0"/>
      <w:marRight w:val="0"/>
      <w:marTop w:val="0"/>
      <w:marBottom w:val="0"/>
      <w:divBdr>
        <w:top w:val="none" w:sz="0" w:space="0" w:color="auto"/>
        <w:left w:val="none" w:sz="0" w:space="0" w:color="auto"/>
        <w:bottom w:val="none" w:sz="0" w:space="0" w:color="auto"/>
        <w:right w:val="none" w:sz="0" w:space="0" w:color="auto"/>
      </w:divBdr>
    </w:div>
    <w:div w:id="1763649313">
      <w:bodyDiv w:val="1"/>
      <w:marLeft w:val="0"/>
      <w:marRight w:val="0"/>
      <w:marTop w:val="0"/>
      <w:marBottom w:val="0"/>
      <w:divBdr>
        <w:top w:val="none" w:sz="0" w:space="0" w:color="auto"/>
        <w:left w:val="none" w:sz="0" w:space="0" w:color="auto"/>
        <w:bottom w:val="none" w:sz="0" w:space="0" w:color="auto"/>
        <w:right w:val="none" w:sz="0" w:space="0" w:color="auto"/>
      </w:divBdr>
    </w:div>
    <w:div w:id="1766344447">
      <w:bodyDiv w:val="1"/>
      <w:marLeft w:val="0"/>
      <w:marRight w:val="0"/>
      <w:marTop w:val="0"/>
      <w:marBottom w:val="0"/>
      <w:divBdr>
        <w:top w:val="none" w:sz="0" w:space="0" w:color="auto"/>
        <w:left w:val="none" w:sz="0" w:space="0" w:color="auto"/>
        <w:bottom w:val="none" w:sz="0" w:space="0" w:color="auto"/>
        <w:right w:val="none" w:sz="0" w:space="0" w:color="auto"/>
      </w:divBdr>
    </w:div>
    <w:div w:id="1766731030">
      <w:bodyDiv w:val="1"/>
      <w:marLeft w:val="0"/>
      <w:marRight w:val="0"/>
      <w:marTop w:val="0"/>
      <w:marBottom w:val="0"/>
      <w:divBdr>
        <w:top w:val="none" w:sz="0" w:space="0" w:color="auto"/>
        <w:left w:val="none" w:sz="0" w:space="0" w:color="auto"/>
        <w:bottom w:val="none" w:sz="0" w:space="0" w:color="auto"/>
        <w:right w:val="none" w:sz="0" w:space="0" w:color="auto"/>
      </w:divBdr>
    </w:div>
    <w:div w:id="1767074465">
      <w:bodyDiv w:val="1"/>
      <w:marLeft w:val="0"/>
      <w:marRight w:val="0"/>
      <w:marTop w:val="0"/>
      <w:marBottom w:val="0"/>
      <w:divBdr>
        <w:top w:val="none" w:sz="0" w:space="0" w:color="auto"/>
        <w:left w:val="none" w:sz="0" w:space="0" w:color="auto"/>
        <w:bottom w:val="none" w:sz="0" w:space="0" w:color="auto"/>
        <w:right w:val="none" w:sz="0" w:space="0" w:color="auto"/>
      </w:divBdr>
    </w:div>
    <w:div w:id="1770270228">
      <w:bodyDiv w:val="1"/>
      <w:marLeft w:val="0"/>
      <w:marRight w:val="0"/>
      <w:marTop w:val="0"/>
      <w:marBottom w:val="0"/>
      <w:divBdr>
        <w:top w:val="none" w:sz="0" w:space="0" w:color="auto"/>
        <w:left w:val="none" w:sz="0" w:space="0" w:color="auto"/>
        <w:bottom w:val="none" w:sz="0" w:space="0" w:color="auto"/>
        <w:right w:val="none" w:sz="0" w:space="0" w:color="auto"/>
      </w:divBdr>
    </w:div>
    <w:div w:id="1777480662">
      <w:bodyDiv w:val="1"/>
      <w:marLeft w:val="0"/>
      <w:marRight w:val="0"/>
      <w:marTop w:val="0"/>
      <w:marBottom w:val="0"/>
      <w:divBdr>
        <w:top w:val="none" w:sz="0" w:space="0" w:color="auto"/>
        <w:left w:val="none" w:sz="0" w:space="0" w:color="auto"/>
        <w:bottom w:val="none" w:sz="0" w:space="0" w:color="auto"/>
        <w:right w:val="none" w:sz="0" w:space="0" w:color="auto"/>
      </w:divBdr>
    </w:div>
    <w:div w:id="1783181015">
      <w:bodyDiv w:val="1"/>
      <w:marLeft w:val="0"/>
      <w:marRight w:val="0"/>
      <w:marTop w:val="0"/>
      <w:marBottom w:val="0"/>
      <w:divBdr>
        <w:top w:val="none" w:sz="0" w:space="0" w:color="auto"/>
        <w:left w:val="none" w:sz="0" w:space="0" w:color="auto"/>
        <w:bottom w:val="none" w:sz="0" w:space="0" w:color="auto"/>
        <w:right w:val="none" w:sz="0" w:space="0" w:color="auto"/>
      </w:divBdr>
    </w:div>
    <w:div w:id="1784766557">
      <w:bodyDiv w:val="1"/>
      <w:marLeft w:val="0"/>
      <w:marRight w:val="0"/>
      <w:marTop w:val="0"/>
      <w:marBottom w:val="0"/>
      <w:divBdr>
        <w:top w:val="none" w:sz="0" w:space="0" w:color="auto"/>
        <w:left w:val="none" w:sz="0" w:space="0" w:color="auto"/>
        <w:bottom w:val="none" w:sz="0" w:space="0" w:color="auto"/>
        <w:right w:val="none" w:sz="0" w:space="0" w:color="auto"/>
      </w:divBdr>
    </w:div>
    <w:div w:id="1787115973">
      <w:bodyDiv w:val="1"/>
      <w:marLeft w:val="0"/>
      <w:marRight w:val="0"/>
      <w:marTop w:val="0"/>
      <w:marBottom w:val="0"/>
      <w:divBdr>
        <w:top w:val="none" w:sz="0" w:space="0" w:color="auto"/>
        <w:left w:val="none" w:sz="0" w:space="0" w:color="auto"/>
        <w:bottom w:val="none" w:sz="0" w:space="0" w:color="auto"/>
        <w:right w:val="none" w:sz="0" w:space="0" w:color="auto"/>
      </w:divBdr>
    </w:div>
    <w:div w:id="1798790261">
      <w:bodyDiv w:val="1"/>
      <w:marLeft w:val="0"/>
      <w:marRight w:val="0"/>
      <w:marTop w:val="0"/>
      <w:marBottom w:val="0"/>
      <w:divBdr>
        <w:top w:val="none" w:sz="0" w:space="0" w:color="auto"/>
        <w:left w:val="none" w:sz="0" w:space="0" w:color="auto"/>
        <w:bottom w:val="none" w:sz="0" w:space="0" w:color="auto"/>
        <w:right w:val="none" w:sz="0" w:space="0" w:color="auto"/>
      </w:divBdr>
    </w:div>
    <w:div w:id="1798835147">
      <w:bodyDiv w:val="1"/>
      <w:marLeft w:val="0"/>
      <w:marRight w:val="0"/>
      <w:marTop w:val="0"/>
      <w:marBottom w:val="0"/>
      <w:divBdr>
        <w:top w:val="none" w:sz="0" w:space="0" w:color="auto"/>
        <w:left w:val="none" w:sz="0" w:space="0" w:color="auto"/>
        <w:bottom w:val="none" w:sz="0" w:space="0" w:color="auto"/>
        <w:right w:val="none" w:sz="0" w:space="0" w:color="auto"/>
      </w:divBdr>
    </w:div>
    <w:div w:id="1800105441">
      <w:bodyDiv w:val="1"/>
      <w:marLeft w:val="0"/>
      <w:marRight w:val="0"/>
      <w:marTop w:val="0"/>
      <w:marBottom w:val="0"/>
      <w:divBdr>
        <w:top w:val="none" w:sz="0" w:space="0" w:color="auto"/>
        <w:left w:val="none" w:sz="0" w:space="0" w:color="auto"/>
        <w:bottom w:val="none" w:sz="0" w:space="0" w:color="auto"/>
        <w:right w:val="none" w:sz="0" w:space="0" w:color="auto"/>
      </w:divBdr>
    </w:div>
    <w:div w:id="1801067728">
      <w:bodyDiv w:val="1"/>
      <w:marLeft w:val="0"/>
      <w:marRight w:val="0"/>
      <w:marTop w:val="0"/>
      <w:marBottom w:val="0"/>
      <w:divBdr>
        <w:top w:val="none" w:sz="0" w:space="0" w:color="auto"/>
        <w:left w:val="none" w:sz="0" w:space="0" w:color="auto"/>
        <w:bottom w:val="none" w:sz="0" w:space="0" w:color="auto"/>
        <w:right w:val="none" w:sz="0" w:space="0" w:color="auto"/>
      </w:divBdr>
    </w:div>
    <w:div w:id="1801192642">
      <w:bodyDiv w:val="1"/>
      <w:marLeft w:val="0"/>
      <w:marRight w:val="0"/>
      <w:marTop w:val="0"/>
      <w:marBottom w:val="0"/>
      <w:divBdr>
        <w:top w:val="none" w:sz="0" w:space="0" w:color="auto"/>
        <w:left w:val="none" w:sz="0" w:space="0" w:color="auto"/>
        <w:bottom w:val="none" w:sz="0" w:space="0" w:color="auto"/>
        <w:right w:val="none" w:sz="0" w:space="0" w:color="auto"/>
      </w:divBdr>
    </w:div>
    <w:div w:id="1805999072">
      <w:bodyDiv w:val="1"/>
      <w:marLeft w:val="0"/>
      <w:marRight w:val="0"/>
      <w:marTop w:val="0"/>
      <w:marBottom w:val="0"/>
      <w:divBdr>
        <w:top w:val="none" w:sz="0" w:space="0" w:color="auto"/>
        <w:left w:val="none" w:sz="0" w:space="0" w:color="auto"/>
        <w:bottom w:val="none" w:sz="0" w:space="0" w:color="auto"/>
        <w:right w:val="none" w:sz="0" w:space="0" w:color="auto"/>
      </w:divBdr>
    </w:div>
    <w:div w:id="1808668968">
      <w:bodyDiv w:val="1"/>
      <w:marLeft w:val="0"/>
      <w:marRight w:val="0"/>
      <w:marTop w:val="0"/>
      <w:marBottom w:val="0"/>
      <w:divBdr>
        <w:top w:val="none" w:sz="0" w:space="0" w:color="auto"/>
        <w:left w:val="none" w:sz="0" w:space="0" w:color="auto"/>
        <w:bottom w:val="none" w:sz="0" w:space="0" w:color="auto"/>
        <w:right w:val="none" w:sz="0" w:space="0" w:color="auto"/>
      </w:divBdr>
    </w:div>
    <w:div w:id="1810779120">
      <w:bodyDiv w:val="1"/>
      <w:marLeft w:val="0"/>
      <w:marRight w:val="0"/>
      <w:marTop w:val="0"/>
      <w:marBottom w:val="0"/>
      <w:divBdr>
        <w:top w:val="none" w:sz="0" w:space="0" w:color="auto"/>
        <w:left w:val="none" w:sz="0" w:space="0" w:color="auto"/>
        <w:bottom w:val="none" w:sz="0" w:space="0" w:color="auto"/>
        <w:right w:val="none" w:sz="0" w:space="0" w:color="auto"/>
      </w:divBdr>
    </w:div>
    <w:div w:id="1864632055">
      <w:bodyDiv w:val="1"/>
      <w:marLeft w:val="0"/>
      <w:marRight w:val="0"/>
      <w:marTop w:val="0"/>
      <w:marBottom w:val="0"/>
      <w:divBdr>
        <w:top w:val="none" w:sz="0" w:space="0" w:color="auto"/>
        <w:left w:val="none" w:sz="0" w:space="0" w:color="auto"/>
        <w:bottom w:val="none" w:sz="0" w:space="0" w:color="auto"/>
        <w:right w:val="none" w:sz="0" w:space="0" w:color="auto"/>
      </w:divBdr>
    </w:div>
    <w:div w:id="1868174563">
      <w:bodyDiv w:val="1"/>
      <w:marLeft w:val="0"/>
      <w:marRight w:val="0"/>
      <w:marTop w:val="0"/>
      <w:marBottom w:val="0"/>
      <w:divBdr>
        <w:top w:val="none" w:sz="0" w:space="0" w:color="auto"/>
        <w:left w:val="none" w:sz="0" w:space="0" w:color="auto"/>
        <w:bottom w:val="none" w:sz="0" w:space="0" w:color="auto"/>
        <w:right w:val="none" w:sz="0" w:space="0" w:color="auto"/>
      </w:divBdr>
    </w:div>
    <w:div w:id="1873419535">
      <w:bodyDiv w:val="1"/>
      <w:marLeft w:val="0"/>
      <w:marRight w:val="0"/>
      <w:marTop w:val="0"/>
      <w:marBottom w:val="0"/>
      <w:divBdr>
        <w:top w:val="none" w:sz="0" w:space="0" w:color="auto"/>
        <w:left w:val="none" w:sz="0" w:space="0" w:color="auto"/>
        <w:bottom w:val="none" w:sz="0" w:space="0" w:color="auto"/>
        <w:right w:val="none" w:sz="0" w:space="0" w:color="auto"/>
      </w:divBdr>
    </w:div>
    <w:div w:id="1873882756">
      <w:bodyDiv w:val="1"/>
      <w:marLeft w:val="0"/>
      <w:marRight w:val="0"/>
      <w:marTop w:val="0"/>
      <w:marBottom w:val="0"/>
      <w:divBdr>
        <w:top w:val="none" w:sz="0" w:space="0" w:color="auto"/>
        <w:left w:val="none" w:sz="0" w:space="0" w:color="auto"/>
        <w:bottom w:val="none" w:sz="0" w:space="0" w:color="auto"/>
        <w:right w:val="none" w:sz="0" w:space="0" w:color="auto"/>
      </w:divBdr>
    </w:div>
    <w:div w:id="1882091359">
      <w:bodyDiv w:val="1"/>
      <w:marLeft w:val="0"/>
      <w:marRight w:val="0"/>
      <w:marTop w:val="0"/>
      <w:marBottom w:val="0"/>
      <w:divBdr>
        <w:top w:val="none" w:sz="0" w:space="0" w:color="auto"/>
        <w:left w:val="none" w:sz="0" w:space="0" w:color="auto"/>
        <w:bottom w:val="none" w:sz="0" w:space="0" w:color="auto"/>
        <w:right w:val="none" w:sz="0" w:space="0" w:color="auto"/>
      </w:divBdr>
    </w:div>
    <w:div w:id="1882980537">
      <w:bodyDiv w:val="1"/>
      <w:marLeft w:val="0"/>
      <w:marRight w:val="0"/>
      <w:marTop w:val="0"/>
      <w:marBottom w:val="0"/>
      <w:divBdr>
        <w:top w:val="none" w:sz="0" w:space="0" w:color="auto"/>
        <w:left w:val="none" w:sz="0" w:space="0" w:color="auto"/>
        <w:bottom w:val="none" w:sz="0" w:space="0" w:color="auto"/>
        <w:right w:val="none" w:sz="0" w:space="0" w:color="auto"/>
      </w:divBdr>
    </w:div>
    <w:div w:id="1900893697">
      <w:marLeft w:val="0"/>
      <w:marRight w:val="0"/>
      <w:marTop w:val="0"/>
      <w:marBottom w:val="0"/>
      <w:divBdr>
        <w:top w:val="none" w:sz="0" w:space="0" w:color="auto"/>
        <w:left w:val="none" w:sz="0" w:space="0" w:color="auto"/>
        <w:bottom w:val="none" w:sz="0" w:space="0" w:color="auto"/>
        <w:right w:val="none" w:sz="0" w:space="0" w:color="auto"/>
      </w:divBdr>
    </w:div>
    <w:div w:id="1900893698">
      <w:marLeft w:val="0"/>
      <w:marRight w:val="0"/>
      <w:marTop w:val="0"/>
      <w:marBottom w:val="0"/>
      <w:divBdr>
        <w:top w:val="none" w:sz="0" w:space="0" w:color="auto"/>
        <w:left w:val="none" w:sz="0" w:space="0" w:color="auto"/>
        <w:bottom w:val="none" w:sz="0" w:space="0" w:color="auto"/>
        <w:right w:val="none" w:sz="0" w:space="0" w:color="auto"/>
      </w:divBdr>
    </w:div>
    <w:div w:id="1900893699">
      <w:marLeft w:val="0"/>
      <w:marRight w:val="0"/>
      <w:marTop w:val="0"/>
      <w:marBottom w:val="0"/>
      <w:divBdr>
        <w:top w:val="none" w:sz="0" w:space="0" w:color="auto"/>
        <w:left w:val="none" w:sz="0" w:space="0" w:color="auto"/>
        <w:bottom w:val="none" w:sz="0" w:space="0" w:color="auto"/>
        <w:right w:val="none" w:sz="0" w:space="0" w:color="auto"/>
      </w:divBdr>
    </w:div>
    <w:div w:id="1900893700">
      <w:marLeft w:val="0"/>
      <w:marRight w:val="0"/>
      <w:marTop w:val="0"/>
      <w:marBottom w:val="0"/>
      <w:divBdr>
        <w:top w:val="none" w:sz="0" w:space="0" w:color="auto"/>
        <w:left w:val="none" w:sz="0" w:space="0" w:color="auto"/>
        <w:bottom w:val="none" w:sz="0" w:space="0" w:color="auto"/>
        <w:right w:val="none" w:sz="0" w:space="0" w:color="auto"/>
      </w:divBdr>
    </w:div>
    <w:div w:id="1900893701">
      <w:marLeft w:val="0"/>
      <w:marRight w:val="0"/>
      <w:marTop w:val="0"/>
      <w:marBottom w:val="0"/>
      <w:divBdr>
        <w:top w:val="none" w:sz="0" w:space="0" w:color="auto"/>
        <w:left w:val="none" w:sz="0" w:space="0" w:color="auto"/>
        <w:bottom w:val="none" w:sz="0" w:space="0" w:color="auto"/>
        <w:right w:val="none" w:sz="0" w:space="0" w:color="auto"/>
      </w:divBdr>
    </w:div>
    <w:div w:id="1900893702">
      <w:marLeft w:val="0"/>
      <w:marRight w:val="0"/>
      <w:marTop w:val="0"/>
      <w:marBottom w:val="0"/>
      <w:divBdr>
        <w:top w:val="none" w:sz="0" w:space="0" w:color="auto"/>
        <w:left w:val="none" w:sz="0" w:space="0" w:color="auto"/>
        <w:bottom w:val="none" w:sz="0" w:space="0" w:color="auto"/>
        <w:right w:val="none" w:sz="0" w:space="0" w:color="auto"/>
      </w:divBdr>
    </w:div>
    <w:div w:id="1900893703">
      <w:marLeft w:val="0"/>
      <w:marRight w:val="0"/>
      <w:marTop w:val="0"/>
      <w:marBottom w:val="0"/>
      <w:divBdr>
        <w:top w:val="none" w:sz="0" w:space="0" w:color="auto"/>
        <w:left w:val="none" w:sz="0" w:space="0" w:color="auto"/>
        <w:bottom w:val="none" w:sz="0" w:space="0" w:color="auto"/>
        <w:right w:val="none" w:sz="0" w:space="0" w:color="auto"/>
      </w:divBdr>
    </w:div>
    <w:div w:id="1900893704">
      <w:marLeft w:val="0"/>
      <w:marRight w:val="0"/>
      <w:marTop w:val="0"/>
      <w:marBottom w:val="0"/>
      <w:divBdr>
        <w:top w:val="none" w:sz="0" w:space="0" w:color="auto"/>
        <w:left w:val="none" w:sz="0" w:space="0" w:color="auto"/>
        <w:bottom w:val="none" w:sz="0" w:space="0" w:color="auto"/>
        <w:right w:val="none" w:sz="0" w:space="0" w:color="auto"/>
      </w:divBdr>
    </w:div>
    <w:div w:id="1900893705">
      <w:marLeft w:val="0"/>
      <w:marRight w:val="0"/>
      <w:marTop w:val="0"/>
      <w:marBottom w:val="0"/>
      <w:divBdr>
        <w:top w:val="none" w:sz="0" w:space="0" w:color="auto"/>
        <w:left w:val="none" w:sz="0" w:space="0" w:color="auto"/>
        <w:bottom w:val="none" w:sz="0" w:space="0" w:color="auto"/>
        <w:right w:val="none" w:sz="0" w:space="0" w:color="auto"/>
      </w:divBdr>
    </w:div>
    <w:div w:id="1900893706">
      <w:marLeft w:val="0"/>
      <w:marRight w:val="0"/>
      <w:marTop w:val="0"/>
      <w:marBottom w:val="0"/>
      <w:divBdr>
        <w:top w:val="none" w:sz="0" w:space="0" w:color="auto"/>
        <w:left w:val="none" w:sz="0" w:space="0" w:color="auto"/>
        <w:bottom w:val="none" w:sz="0" w:space="0" w:color="auto"/>
        <w:right w:val="none" w:sz="0" w:space="0" w:color="auto"/>
      </w:divBdr>
    </w:div>
    <w:div w:id="1900893707">
      <w:marLeft w:val="0"/>
      <w:marRight w:val="0"/>
      <w:marTop w:val="0"/>
      <w:marBottom w:val="0"/>
      <w:divBdr>
        <w:top w:val="none" w:sz="0" w:space="0" w:color="auto"/>
        <w:left w:val="none" w:sz="0" w:space="0" w:color="auto"/>
        <w:bottom w:val="none" w:sz="0" w:space="0" w:color="auto"/>
        <w:right w:val="none" w:sz="0" w:space="0" w:color="auto"/>
      </w:divBdr>
    </w:div>
    <w:div w:id="1900893708">
      <w:marLeft w:val="0"/>
      <w:marRight w:val="0"/>
      <w:marTop w:val="0"/>
      <w:marBottom w:val="0"/>
      <w:divBdr>
        <w:top w:val="none" w:sz="0" w:space="0" w:color="auto"/>
        <w:left w:val="none" w:sz="0" w:space="0" w:color="auto"/>
        <w:bottom w:val="none" w:sz="0" w:space="0" w:color="auto"/>
        <w:right w:val="none" w:sz="0" w:space="0" w:color="auto"/>
      </w:divBdr>
    </w:div>
    <w:div w:id="1900893709">
      <w:marLeft w:val="0"/>
      <w:marRight w:val="0"/>
      <w:marTop w:val="0"/>
      <w:marBottom w:val="0"/>
      <w:divBdr>
        <w:top w:val="none" w:sz="0" w:space="0" w:color="auto"/>
        <w:left w:val="none" w:sz="0" w:space="0" w:color="auto"/>
        <w:bottom w:val="none" w:sz="0" w:space="0" w:color="auto"/>
        <w:right w:val="none" w:sz="0" w:space="0" w:color="auto"/>
      </w:divBdr>
    </w:div>
    <w:div w:id="1900893710">
      <w:marLeft w:val="0"/>
      <w:marRight w:val="0"/>
      <w:marTop w:val="0"/>
      <w:marBottom w:val="0"/>
      <w:divBdr>
        <w:top w:val="none" w:sz="0" w:space="0" w:color="auto"/>
        <w:left w:val="none" w:sz="0" w:space="0" w:color="auto"/>
        <w:bottom w:val="none" w:sz="0" w:space="0" w:color="auto"/>
        <w:right w:val="none" w:sz="0" w:space="0" w:color="auto"/>
      </w:divBdr>
    </w:div>
    <w:div w:id="1900893711">
      <w:marLeft w:val="0"/>
      <w:marRight w:val="0"/>
      <w:marTop w:val="0"/>
      <w:marBottom w:val="0"/>
      <w:divBdr>
        <w:top w:val="none" w:sz="0" w:space="0" w:color="auto"/>
        <w:left w:val="none" w:sz="0" w:space="0" w:color="auto"/>
        <w:bottom w:val="none" w:sz="0" w:space="0" w:color="auto"/>
        <w:right w:val="none" w:sz="0" w:space="0" w:color="auto"/>
      </w:divBdr>
    </w:div>
    <w:div w:id="1900893712">
      <w:marLeft w:val="0"/>
      <w:marRight w:val="0"/>
      <w:marTop w:val="0"/>
      <w:marBottom w:val="0"/>
      <w:divBdr>
        <w:top w:val="none" w:sz="0" w:space="0" w:color="auto"/>
        <w:left w:val="none" w:sz="0" w:space="0" w:color="auto"/>
        <w:bottom w:val="none" w:sz="0" w:space="0" w:color="auto"/>
        <w:right w:val="none" w:sz="0" w:space="0" w:color="auto"/>
      </w:divBdr>
    </w:div>
    <w:div w:id="1900893713">
      <w:marLeft w:val="0"/>
      <w:marRight w:val="0"/>
      <w:marTop w:val="0"/>
      <w:marBottom w:val="0"/>
      <w:divBdr>
        <w:top w:val="none" w:sz="0" w:space="0" w:color="auto"/>
        <w:left w:val="none" w:sz="0" w:space="0" w:color="auto"/>
        <w:bottom w:val="none" w:sz="0" w:space="0" w:color="auto"/>
        <w:right w:val="none" w:sz="0" w:space="0" w:color="auto"/>
      </w:divBdr>
    </w:div>
    <w:div w:id="1900893714">
      <w:marLeft w:val="0"/>
      <w:marRight w:val="0"/>
      <w:marTop w:val="0"/>
      <w:marBottom w:val="0"/>
      <w:divBdr>
        <w:top w:val="none" w:sz="0" w:space="0" w:color="auto"/>
        <w:left w:val="none" w:sz="0" w:space="0" w:color="auto"/>
        <w:bottom w:val="none" w:sz="0" w:space="0" w:color="auto"/>
        <w:right w:val="none" w:sz="0" w:space="0" w:color="auto"/>
      </w:divBdr>
    </w:div>
    <w:div w:id="1900893715">
      <w:marLeft w:val="0"/>
      <w:marRight w:val="0"/>
      <w:marTop w:val="0"/>
      <w:marBottom w:val="0"/>
      <w:divBdr>
        <w:top w:val="none" w:sz="0" w:space="0" w:color="auto"/>
        <w:left w:val="none" w:sz="0" w:space="0" w:color="auto"/>
        <w:bottom w:val="none" w:sz="0" w:space="0" w:color="auto"/>
        <w:right w:val="none" w:sz="0" w:space="0" w:color="auto"/>
      </w:divBdr>
    </w:div>
    <w:div w:id="1900893716">
      <w:marLeft w:val="0"/>
      <w:marRight w:val="0"/>
      <w:marTop w:val="0"/>
      <w:marBottom w:val="0"/>
      <w:divBdr>
        <w:top w:val="none" w:sz="0" w:space="0" w:color="auto"/>
        <w:left w:val="none" w:sz="0" w:space="0" w:color="auto"/>
        <w:bottom w:val="none" w:sz="0" w:space="0" w:color="auto"/>
        <w:right w:val="none" w:sz="0" w:space="0" w:color="auto"/>
      </w:divBdr>
    </w:div>
    <w:div w:id="1900893717">
      <w:marLeft w:val="0"/>
      <w:marRight w:val="0"/>
      <w:marTop w:val="0"/>
      <w:marBottom w:val="0"/>
      <w:divBdr>
        <w:top w:val="none" w:sz="0" w:space="0" w:color="auto"/>
        <w:left w:val="none" w:sz="0" w:space="0" w:color="auto"/>
        <w:bottom w:val="none" w:sz="0" w:space="0" w:color="auto"/>
        <w:right w:val="none" w:sz="0" w:space="0" w:color="auto"/>
      </w:divBdr>
    </w:div>
    <w:div w:id="1900893718">
      <w:marLeft w:val="0"/>
      <w:marRight w:val="0"/>
      <w:marTop w:val="0"/>
      <w:marBottom w:val="0"/>
      <w:divBdr>
        <w:top w:val="none" w:sz="0" w:space="0" w:color="auto"/>
        <w:left w:val="none" w:sz="0" w:space="0" w:color="auto"/>
        <w:bottom w:val="none" w:sz="0" w:space="0" w:color="auto"/>
        <w:right w:val="none" w:sz="0" w:space="0" w:color="auto"/>
      </w:divBdr>
    </w:div>
    <w:div w:id="1900893719">
      <w:marLeft w:val="0"/>
      <w:marRight w:val="0"/>
      <w:marTop w:val="0"/>
      <w:marBottom w:val="0"/>
      <w:divBdr>
        <w:top w:val="none" w:sz="0" w:space="0" w:color="auto"/>
        <w:left w:val="none" w:sz="0" w:space="0" w:color="auto"/>
        <w:bottom w:val="none" w:sz="0" w:space="0" w:color="auto"/>
        <w:right w:val="none" w:sz="0" w:space="0" w:color="auto"/>
      </w:divBdr>
    </w:div>
    <w:div w:id="1900893720">
      <w:marLeft w:val="0"/>
      <w:marRight w:val="0"/>
      <w:marTop w:val="0"/>
      <w:marBottom w:val="0"/>
      <w:divBdr>
        <w:top w:val="none" w:sz="0" w:space="0" w:color="auto"/>
        <w:left w:val="none" w:sz="0" w:space="0" w:color="auto"/>
        <w:bottom w:val="none" w:sz="0" w:space="0" w:color="auto"/>
        <w:right w:val="none" w:sz="0" w:space="0" w:color="auto"/>
      </w:divBdr>
    </w:div>
    <w:div w:id="1900893721">
      <w:marLeft w:val="0"/>
      <w:marRight w:val="0"/>
      <w:marTop w:val="0"/>
      <w:marBottom w:val="0"/>
      <w:divBdr>
        <w:top w:val="none" w:sz="0" w:space="0" w:color="auto"/>
        <w:left w:val="none" w:sz="0" w:space="0" w:color="auto"/>
        <w:bottom w:val="none" w:sz="0" w:space="0" w:color="auto"/>
        <w:right w:val="none" w:sz="0" w:space="0" w:color="auto"/>
      </w:divBdr>
    </w:div>
    <w:div w:id="1900893722">
      <w:marLeft w:val="0"/>
      <w:marRight w:val="0"/>
      <w:marTop w:val="0"/>
      <w:marBottom w:val="0"/>
      <w:divBdr>
        <w:top w:val="none" w:sz="0" w:space="0" w:color="auto"/>
        <w:left w:val="none" w:sz="0" w:space="0" w:color="auto"/>
        <w:bottom w:val="none" w:sz="0" w:space="0" w:color="auto"/>
        <w:right w:val="none" w:sz="0" w:space="0" w:color="auto"/>
      </w:divBdr>
    </w:div>
    <w:div w:id="1902715921">
      <w:bodyDiv w:val="1"/>
      <w:marLeft w:val="0"/>
      <w:marRight w:val="0"/>
      <w:marTop w:val="0"/>
      <w:marBottom w:val="0"/>
      <w:divBdr>
        <w:top w:val="none" w:sz="0" w:space="0" w:color="auto"/>
        <w:left w:val="none" w:sz="0" w:space="0" w:color="auto"/>
        <w:bottom w:val="none" w:sz="0" w:space="0" w:color="auto"/>
        <w:right w:val="none" w:sz="0" w:space="0" w:color="auto"/>
      </w:divBdr>
    </w:div>
    <w:div w:id="1940675839">
      <w:bodyDiv w:val="1"/>
      <w:marLeft w:val="0"/>
      <w:marRight w:val="0"/>
      <w:marTop w:val="0"/>
      <w:marBottom w:val="0"/>
      <w:divBdr>
        <w:top w:val="none" w:sz="0" w:space="0" w:color="auto"/>
        <w:left w:val="none" w:sz="0" w:space="0" w:color="auto"/>
        <w:bottom w:val="none" w:sz="0" w:space="0" w:color="auto"/>
        <w:right w:val="none" w:sz="0" w:space="0" w:color="auto"/>
      </w:divBdr>
    </w:div>
    <w:div w:id="1940723316">
      <w:bodyDiv w:val="1"/>
      <w:marLeft w:val="0"/>
      <w:marRight w:val="0"/>
      <w:marTop w:val="0"/>
      <w:marBottom w:val="0"/>
      <w:divBdr>
        <w:top w:val="none" w:sz="0" w:space="0" w:color="auto"/>
        <w:left w:val="none" w:sz="0" w:space="0" w:color="auto"/>
        <w:bottom w:val="none" w:sz="0" w:space="0" w:color="auto"/>
        <w:right w:val="none" w:sz="0" w:space="0" w:color="auto"/>
      </w:divBdr>
    </w:div>
    <w:div w:id="1943297195">
      <w:bodyDiv w:val="1"/>
      <w:marLeft w:val="0"/>
      <w:marRight w:val="0"/>
      <w:marTop w:val="0"/>
      <w:marBottom w:val="0"/>
      <w:divBdr>
        <w:top w:val="none" w:sz="0" w:space="0" w:color="auto"/>
        <w:left w:val="none" w:sz="0" w:space="0" w:color="auto"/>
        <w:bottom w:val="none" w:sz="0" w:space="0" w:color="auto"/>
        <w:right w:val="none" w:sz="0" w:space="0" w:color="auto"/>
      </w:divBdr>
    </w:div>
    <w:div w:id="1954551062">
      <w:bodyDiv w:val="1"/>
      <w:marLeft w:val="0"/>
      <w:marRight w:val="0"/>
      <w:marTop w:val="0"/>
      <w:marBottom w:val="0"/>
      <w:divBdr>
        <w:top w:val="none" w:sz="0" w:space="0" w:color="auto"/>
        <w:left w:val="none" w:sz="0" w:space="0" w:color="auto"/>
        <w:bottom w:val="none" w:sz="0" w:space="0" w:color="auto"/>
        <w:right w:val="none" w:sz="0" w:space="0" w:color="auto"/>
      </w:divBdr>
    </w:div>
    <w:div w:id="1964537341">
      <w:bodyDiv w:val="1"/>
      <w:marLeft w:val="0"/>
      <w:marRight w:val="0"/>
      <w:marTop w:val="0"/>
      <w:marBottom w:val="0"/>
      <w:divBdr>
        <w:top w:val="none" w:sz="0" w:space="0" w:color="auto"/>
        <w:left w:val="none" w:sz="0" w:space="0" w:color="auto"/>
        <w:bottom w:val="none" w:sz="0" w:space="0" w:color="auto"/>
        <w:right w:val="none" w:sz="0" w:space="0" w:color="auto"/>
      </w:divBdr>
    </w:div>
    <w:div w:id="1969506257">
      <w:bodyDiv w:val="1"/>
      <w:marLeft w:val="0"/>
      <w:marRight w:val="0"/>
      <w:marTop w:val="0"/>
      <w:marBottom w:val="0"/>
      <w:divBdr>
        <w:top w:val="none" w:sz="0" w:space="0" w:color="auto"/>
        <w:left w:val="none" w:sz="0" w:space="0" w:color="auto"/>
        <w:bottom w:val="none" w:sz="0" w:space="0" w:color="auto"/>
        <w:right w:val="none" w:sz="0" w:space="0" w:color="auto"/>
      </w:divBdr>
    </w:div>
    <w:div w:id="1980114412">
      <w:bodyDiv w:val="1"/>
      <w:marLeft w:val="0"/>
      <w:marRight w:val="0"/>
      <w:marTop w:val="0"/>
      <w:marBottom w:val="0"/>
      <w:divBdr>
        <w:top w:val="none" w:sz="0" w:space="0" w:color="auto"/>
        <w:left w:val="none" w:sz="0" w:space="0" w:color="auto"/>
        <w:bottom w:val="none" w:sz="0" w:space="0" w:color="auto"/>
        <w:right w:val="none" w:sz="0" w:space="0" w:color="auto"/>
      </w:divBdr>
    </w:div>
    <w:div w:id="1982348283">
      <w:bodyDiv w:val="1"/>
      <w:marLeft w:val="0"/>
      <w:marRight w:val="0"/>
      <w:marTop w:val="0"/>
      <w:marBottom w:val="0"/>
      <w:divBdr>
        <w:top w:val="none" w:sz="0" w:space="0" w:color="auto"/>
        <w:left w:val="none" w:sz="0" w:space="0" w:color="auto"/>
        <w:bottom w:val="none" w:sz="0" w:space="0" w:color="auto"/>
        <w:right w:val="none" w:sz="0" w:space="0" w:color="auto"/>
      </w:divBdr>
    </w:div>
    <w:div w:id="1982616787">
      <w:bodyDiv w:val="1"/>
      <w:marLeft w:val="0"/>
      <w:marRight w:val="0"/>
      <w:marTop w:val="0"/>
      <w:marBottom w:val="0"/>
      <w:divBdr>
        <w:top w:val="none" w:sz="0" w:space="0" w:color="auto"/>
        <w:left w:val="none" w:sz="0" w:space="0" w:color="auto"/>
        <w:bottom w:val="none" w:sz="0" w:space="0" w:color="auto"/>
        <w:right w:val="none" w:sz="0" w:space="0" w:color="auto"/>
      </w:divBdr>
    </w:div>
    <w:div w:id="1990012240">
      <w:bodyDiv w:val="1"/>
      <w:marLeft w:val="0"/>
      <w:marRight w:val="0"/>
      <w:marTop w:val="0"/>
      <w:marBottom w:val="0"/>
      <w:divBdr>
        <w:top w:val="none" w:sz="0" w:space="0" w:color="auto"/>
        <w:left w:val="none" w:sz="0" w:space="0" w:color="auto"/>
        <w:bottom w:val="none" w:sz="0" w:space="0" w:color="auto"/>
        <w:right w:val="none" w:sz="0" w:space="0" w:color="auto"/>
      </w:divBdr>
    </w:div>
    <w:div w:id="1992640499">
      <w:bodyDiv w:val="1"/>
      <w:marLeft w:val="0"/>
      <w:marRight w:val="0"/>
      <w:marTop w:val="0"/>
      <w:marBottom w:val="0"/>
      <w:divBdr>
        <w:top w:val="none" w:sz="0" w:space="0" w:color="auto"/>
        <w:left w:val="none" w:sz="0" w:space="0" w:color="auto"/>
        <w:bottom w:val="none" w:sz="0" w:space="0" w:color="auto"/>
        <w:right w:val="none" w:sz="0" w:space="0" w:color="auto"/>
      </w:divBdr>
    </w:div>
    <w:div w:id="2005811648">
      <w:bodyDiv w:val="1"/>
      <w:marLeft w:val="0"/>
      <w:marRight w:val="0"/>
      <w:marTop w:val="0"/>
      <w:marBottom w:val="0"/>
      <w:divBdr>
        <w:top w:val="none" w:sz="0" w:space="0" w:color="auto"/>
        <w:left w:val="none" w:sz="0" w:space="0" w:color="auto"/>
        <w:bottom w:val="none" w:sz="0" w:space="0" w:color="auto"/>
        <w:right w:val="none" w:sz="0" w:space="0" w:color="auto"/>
      </w:divBdr>
    </w:div>
    <w:div w:id="2010522098">
      <w:bodyDiv w:val="1"/>
      <w:marLeft w:val="0"/>
      <w:marRight w:val="0"/>
      <w:marTop w:val="0"/>
      <w:marBottom w:val="0"/>
      <w:divBdr>
        <w:top w:val="none" w:sz="0" w:space="0" w:color="auto"/>
        <w:left w:val="none" w:sz="0" w:space="0" w:color="auto"/>
        <w:bottom w:val="none" w:sz="0" w:space="0" w:color="auto"/>
        <w:right w:val="none" w:sz="0" w:space="0" w:color="auto"/>
      </w:divBdr>
    </w:div>
    <w:div w:id="2021616265">
      <w:bodyDiv w:val="1"/>
      <w:marLeft w:val="0"/>
      <w:marRight w:val="0"/>
      <w:marTop w:val="0"/>
      <w:marBottom w:val="0"/>
      <w:divBdr>
        <w:top w:val="none" w:sz="0" w:space="0" w:color="auto"/>
        <w:left w:val="none" w:sz="0" w:space="0" w:color="auto"/>
        <w:bottom w:val="none" w:sz="0" w:space="0" w:color="auto"/>
        <w:right w:val="none" w:sz="0" w:space="0" w:color="auto"/>
      </w:divBdr>
    </w:div>
    <w:div w:id="2034914814">
      <w:bodyDiv w:val="1"/>
      <w:marLeft w:val="0"/>
      <w:marRight w:val="0"/>
      <w:marTop w:val="0"/>
      <w:marBottom w:val="0"/>
      <w:divBdr>
        <w:top w:val="none" w:sz="0" w:space="0" w:color="auto"/>
        <w:left w:val="none" w:sz="0" w:space="0" w:color="auto"/>
        <w:bottom w:val="none" w:sz="0" w:space="0" w:color="auto"/>
        <w:right w:val="none" w:sz="0" w:space="0" w:color="auto"/>
      </w:divBdr>
    </w:div>
    <w:div w:id="2035963101">
      <w:bodyDiv w:val="1"/>
      <w:marLeft w:val="0"/>
      <w:marRight w:val="0"/>
      <w:marTop w:val="0"/>
      <w:marBottom w:val="0"/>
      <w:divBdr>
        <w:top w:val="none" w:sz="0" w:space="0" w:color="auto"/>
        <w:left w:val="none" w:sz="0" w:space="0" w:color="auto"/>
        <w:bottom w:val="none" w:sz="0" w:space="0" w:color="auto"/>
        <w:right w:val="none" w:sz="0" w:space="0" w:color="auto"/>
      </w:divBdr>
    </w:div>
    <w:div w:id="2044938876">
      <w:bodyDiv w:val="1"/>
      <w:marLeft w:val="0"/>
      <w:marRight w:val="0"/>
      <w:marTop w:val="0"/>
      <w:marBottom w:val="0"/>
      <w:divBdr>
        <w:top w:val="none" w:sz="0" w:space="0" w:color="auto"/>
        <w:left w:val="none" w:sz="0" w:space="0" w:color="auto"/>
        <w:bottom w:val="none" w:sz="0" w:space="0" w:color="auto"/>
        <w:right w:val="none" w:sz="0" w:space="0" w:color="auto"/>
      </w:divBdr>
    </w:div>
    <w:div w:id="2048870050">
      <w:bodyDiv w:val="1"/>
      <w:marLeft w:val="0"/>
      <w:marRight w:val="0"/>
      <w:marTop w:val="0"/>
      <w:marBottom w:val="0"/>
      <w:divBdr>
        <w:top w:val="none" w:sz="0" w:space="0" w:color="auto"/>
        <w:left w:val="none" w:sz="0" w:space="0" w:color="auto"/>
        <w:bottom w:val="none" w:sz="0" w:space="0" w:color="auto"/>
        <w:right w:val="none" w:sz="0" w:space="0" w:color="auto"/>
      </w:divBdr>
    </w:div>
    <w:div w:id="2052343835">
      <w:bodyDiv w:val="1"/>
      <w:marLeft w:val="0"/>
      <w:marRight w:val="0"/>
      <w:marTop w:val="0"/>
      <w:marBottom w:val="0"/>
      <w:divBdr>
        <w:top w:val="none" w:sz="0" w:space="0" w:color="auto"/>
        <w:left w:val="none" w:sz="0" w:space="0" w:color="auto"/>
        <w:bottom w:val="none" w:sz="0" w:space="0" w:color="auto"/>
        <w:right w:val="none" w:sz="0" w:space="0" w:color="auto"/>
      </w:divBdr>
    </w:div>
    <w:div w:id="2059939680">
      <w:bodyDiv w:val="1"/>
      <w:marLeft w:val="0"/>
      <w:marRight w:val="0"/>
      <w:marTop w:val="0"/>
      <w:marBottom w:val="0"/>
      <w:divBdr>
        <w:top w:val="none" w:sz="0" w:space="0" w:color="auto"/>
        <w:left w:val="none" w:sz="0" w:space="0" w:color="auto"/>
        <w:bottom w:val="none" w:sz="0" w:space="0" w:color="auto"/>
        <w:right w:val="none" w:sz="0" w:space="0" w:color="auto"/>
      </w:divBdr>
    </w:div>
    <w:div w:id="2061860401">
      <w:bodyDiv w:val="1"/>
      <w:marLeft w:val="0"/>
      <w:marRight w:val="0"/>
      <w:marTop w:val="0"/>
      <w:marBottom w:val="0"/>
      <w:divBdr>
        <w:top w:val="none" w:sz="0" w:space="0" w:color="auto"/>
        <w:left w:val="none" w:sz="0" w:space="0" w:color="auto"/>
        <w:bottom w:val="none" w:sz="0" w:space="0" w:color="auto"/>
        <w:right w:val="none" w:sz="0" w:space="0" w:color="auto"/>
      </w:divBdr>
    </w:div>
    <w:div w:id="2066180679">
      <w:bodyDiv w:val="1"/>
      <w:marLeft w:val="0"/>
      <w:marRight w:val="0"/>
      <w:marTop w:val="0"/>
      <w:marBottom w:val="0"/>
      <w:divBdr>
        <w:top w:val="none" w:sz="0" w:space="0" w:color="auto"/>
        <w:left w:val="none" w:sz="0" w:space="0" w:color="auto"/>
        <w:bottom w:val="none" w:sz="0" w:space="0" w:color="auto"/>
        <w:right w:val="none" w:sz="0" w:space="0" w:color="auto"/>
      </w:divBdr>
    </w:div>
    <w:div w:id="2084796779">
      <w:bodyDiv w:val="1"/>
      <w:marLeft w:val="0"/>
      <w:marRight w:val="0"/>
      <w:marTop w:val="0"/>
      <w:marBottom w:val="0"/>
      <w:divBdr>
        <w:top w:val="none" w:sz="0" w:space="0" w:color="auto"/>
        <w:left w:val="none" w:sz="0" w:space="0" w:color="auto"/>
        <w:bottom w:val="none" w:sz="0" w:space="0" w:color="auto"/>
        <w:right w:val="none" w:sz="0" w:space="0" w:color="auto"/>
      </w:divBdr>
    </w:div>
    <w:div w:id="2095666745">
      <w:bodyDiv w:val="1"/>
      <w:marLeft w:val="0"/>
      <w:marRight w:val="0"/>
      <w:marTop w:val="0"/>
      <w:marBottom w:val="0"/>
      <w:divBdr>
        <w:top w:val="none" w:sz="0" w:space="0" w:color="auto"/>
        <w:left w:val="none" w:sz="0" w:space="0" w:color="auto"/>
        <w:bottom w:val="none" w:sz="0" w:space="0" w:color="auto"/>
        <w:right w:val="none" w:sz="0" w:space="0" w:color="auto"/>
      </w:divBdr>
    </w:div>
    <w:div w:id="2100172468">
      <w:bodyDiv w:val="1"/>
      <w:marLeft w:val="0"/>
      <w:marRight w:val="0"/>
      <w:marTop w:val="0"/>
      <w:marBottom w:val="0"/>
      <w:divBdr>
        <w:top w:val="none" w:sz="0" w:space="0" w:color="auto"/>
        <w:left w:val="none" w:sz="0" w:space="0" w:color="auto"/>
        <w:bottom w:val="none" w:sz="0" w:space="0" w:color="auto"/>
        <w:right w:val="none" w:sz="0" w:space="0" w:color="auto"/>
      </w:divBdr>
    </w:div>
    <w:div w:id="2101096633">
      <w:bodyDiv w:val="1"/>
      <w:marLeft w:val="0"/>
      <w:marRight w:val="0"/>
      <w:marTop w:val="0"/>
      <w:marBottom w:val="0"/>
      <w:divBdr>
        <w:top w:val="none" w:sz="0" w:space="0" w:color="auto"/>
        <w:left w:val="none" w:sz="0" w:space="0" w:color="auto"/>
        <w:bottom w:val="none" w:sz="0" w:space="0" w:color="auto"/>
        <w:right w:val="none" w:sz="0" w:space="0" w:color="auto"/>
      </w:divBdr>
    </w:div>
    <w:div w:id="2102329694">
      <w:bodyDiv w:val="1"/>
      <w:marLeft w:val="0"/>
      <w:marRight w:val="0"/>
      <w:marTop w:val="0"/>
      <w:marBottom w:val="0"/>
      <w:divBdr>
        <w:top w:val="none" w:sz="0" w:space="0" w:color="auto"/>
        <w:left w:val="none" w:sz="0" w:space="0" w:color="auto"/>
        <w:bottom w:val="none" w:sz="0" w:space="0" w:color="auto"/>
        <w:right w:val="none" w:sz="0" w:space="0" w:color="auto"/>
      </w:divBdr>
    </w:div>
    <w:div w:id="2108767792">
      <w:bodyDiv w:val="1"/>
      <w:marLeft w:val="0"/>
      <w:marRight w:val="0"/>
      <w:marTop w:val="0"/>
      <w:marBottom w:val="0"/>
      <w:divBdr>
        <w:top w:val="none" w:sz="0" w:space="0" w:color="auto"/>
        <w:left w:val="none" w:sz="0" w:space="0" w:color="auto"/>
        <w:bottom w:val="none" w:sz="0" w:space="0" w:color="auto"/>
        <w:right w:val="none" w:sz="0" w:space="0" w:color="auto"/>
      </w:divBdr>
    </w:div>
    <w:div w:id="2114592679">
      <w:bodyDiv w:val="1"/>
      <w:marLeft w:val="0"/>
      <w:marRight w:val="0"/>
      <w:marTop w:val="0"/>
      <w:marBottom w:val="0"/>
      <w:divBdr>
        <w:top w:val="none" w:sz="0" w:space="0" w:color="auto"/>
        <w:left w:val="none" w:sz="0" w:space="0" w:color="auto"/>
        <w:bottom w:val="none" w:sz="0" w:space="0" w:color="auto"/>
        <w:right w:val="none" w:sz="0" w:space="0" w:color="auto"/>
      </w:divBdr>
    </w:div>
    <w:div w:id="2121752921">
      <w:bodyDiv w:val="1"/>
      <w:marLeft w:val="0"/>
      <w:marRight w:val="0"/>
      <w:marTop w:val="0"/>
      <w:marBottom w:val="0"/>
      <w:divBdr>
        <w:top w:val="none" w:sz="0" w:space="0" w:color="auto"/>
        <w:left w:val="none" w:sz="0" w:space="0" w:color="auto"/>
        <w:bottom w:val="none" w:sz="0" w:space="0" w:color="auto"/>
        <w:right w:val="none" w:sz="0" w:space="0" w:color="auto"/>
      </w:divBdr>
    </w:div>
    <w:div w:id="2121756442">
      <w:bodyDiv w:val="1"/>
      <w:marLeft w:val="0"/>
      <w:marRight w:val="0"/>
      <w:marTop w:val="0"/>
      <w:marBottom w:val="0"/>
      <w:divBdr>
        <w:top w:val="none" w:sz="0" w:space="0" w:color="auto"/>
        <w:left w:val="none" w:sz="0" w:space="0" w:color="auto"/>
        <w:bottom w:val="none" w:sz="0" w:space="0" w:color="auto"/>
        <w:right w:val="none" w:sz="0" w:space="0" w:color="auto"/>
      </w:divBdr>
    </w:div>
    <w:div w:id="2121951824">
      <w:bodyDiv w:val="1"/>
      <w:marLeft w:val="0"/>
      <w:marRight w:val="0"/>
      <w:marTop w:val="0"/>
      <w:marBottom w:val="0"/>
      <w:divBdr>
        <w:top w:val="none" w:sz="0" w:space="0" w:color="auto"/>
        <w:left w:val="none" w:sz="0" w:space="0" w:color="auto"/>
        <w:bottom w:val="none" w:sz="0" w:space="0" w:color="auto"/>
        <w:right w:val="none" w:sz="0" w:space="0" w:color="auto"/>
      </w:divBdr>
    </w:div>
    <w:div w:id="2123525648">
      <w:bodyDiv w:val="1"/>
      <w:marLeft w:val="0"/>
      <w:marRight w:val="0"/>
      <w:marTop w:val="0"/>
      <w:marBottom w:val="0"/>
      <w:divBdr>
        <w:top w:val="none" w:sz="0" w:space="0" w:color="auto"/>
        <w:left w:val="none" w:sz="0" w:space="0" w:color="auto"/>
        <w:bottom w:val="none" w:sz="0" w:space="0" w:color="auto"/>
        <w:right w:val="none" w:sz="0" w:space="0" w:color="auto"/>
      </w:divBdr>
    </w:div>
    <w:div w:id="2125538439">
      <w:bodyDiv w:val="1"/>
      <w:marLeft w:val="0"/>
      <w:marRight w:val="0"/>
      <w:marTop w:val="0"/>
      <w:marBottom w:val="0"/>
      <w:divBdr>
        <w:top w:val="none" w:sz="0" w:space="0" w:color="auto"/>
        <w:left w:val="none" w:sz="0" w:space="0" w:color="auto"/>
        <w:bottom w:val="none" w:sz="0" w:space="0" w:color="auto"/>
        <w:right w:val="none" w:sz="0" w:space="0" w:color="auto"/>
      </w:divBdr>
    </w:div>
    <w:div w:id="2132094679">
      <w:bodyDiv w:val="1"/>
      <w:marLeft w:val="0"/>
      <w:marRight w:val="0"/>
      <w:marTop w:val="0"/>
      <w:marBottom w:val="0"/>
      <w:divBdr>
        <w:top w:val="none" w:sz="0" w:space="0" w:color="auto"/>
        <w:left w:val="none" w:sz="0" w:space="0" w:color="auto"/>
        <w:bottom w:val="none" w:sz="0" w:space="0" w:color="auto"/>
        <w:right w:val="none" w:sz="0" w:space="0" w:color="auto"/>
      </w:divBdr>
    </w:div>
    <w:div w:id="2132476237">
      <w:bodyDiv w:val="1"/>
      <w:marLeft w:val="0"/>
      <w:marRight w:val="0"/>
      <w:marTop w:val="0"/>
      <w:marBottom w:val="0"/>
      <w:divBdr>
        <w:top w:val="none" w:sz="0" w:space="0" w:color="auto"/>
        <w:left w:val="none" w:sz="0" w:space="0" w:color="auto"/>
        <w:bottom w:val="none" w:sz="0" w:space="0" w:color="auto"/>
        <w:right w:val="none" w:sz="0" w:space="0" w:color="auto"/>
      </w:divBdr>
    </w:div>
    <w:div w:id="21431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control/uk/publish/article?art_jd=27843415&amp;cat_id44578"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mof.gov.ua/storage/files/IFRS-15_ukr-compressed.pdf" TargetMode="Externa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E21E-531D-4498-B2D1-772C933F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42</Pages>
  <Words>18444</Words>
  <Characters>119805</Characters>
  <Application>Microsoft Office Word</Application>
  <DocSecurity>0</DocSecurity>
  <Lines>998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Экопрод 2013</vt:lpstr>
      <vt:lpstr>Экопрод 2013</vt:lpstr>
    </vt:vector>
  </TitlesOfParts>
  <Company>Grata Consulting Group</Company>
  <LinksUpToDate>false</LinksUpToDate>
  <CharactersWithSpaces>137974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Экопрод 2013</dc:title>
  <dc:creator>Каплун Яна</dc:creator>
  <cp:lastModifiedBy>Oksana Skibinska</cp:lastModifiedBy>
  <cp:revision>99</cp:revision>
  <cp:lastPrinted>2021-02-25T13:12:00Z</cp:lastPrinted>
  <dcterms:created xsi:type="dcterms:W3CDTF">2021-03-26T09:08:00Z</dcterms:created>
  <dcterms:modified xsi:type="dcterms:W3CDTF">2021-04-27T08:19:00Z</dcterms:modified>
</cp:coreProperties>
</file>